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default" w:ascii="Times New Roman" w:hAnsi="Times New Roman" w:cs="Times New Roman"/>
          <w:sz w:val="20"/>
          <w:szCs w:val="20"/>
        </w:rPr>
      </w:pPr>
    </w:p>
    <w:p>
      <w:pPr>
        <w:spacing w:line="480" w:lineRule="exact"/>
        <w:rPr>
          <w:rFonts w:hint="default" w:ascii="Times New Roman" w:hAnsi="Times New Roman" w:cs="Times New Roman"/>
          <w:sz w:val="20"/>
          <w:szCs w:val="20"/>
        </w:rPr>
      </w:pPr>
    </w:p>
    <w:p>
      <w:pPr>
        <w:spacing w:line="480" w:lineRule="exact"/>
        <w:rPr>
          <w:rFonts w:hint="default" w:ascii="Times New Roman" w:hAnsi="Times New Roman" w:cs="Times New Roman"/>
          <w:sz w:val="20"/>
          <w:szCs w:val="20"/>
        </w:rPr>
      </w:pPr>
    </w:p>
    <w:p>
      <w:pPr>
        <w:spacing w:line="480" w:lineRule="exact"/>
        <w:rPr>
          <w:rFonts w:hint="default" w:ascii="Times New Roman" w:hAnsi="Times New Roman" w:cs="Times New Roman"/>
          <w:sz w:val="20"/>
          <w:szCs w:val="20"/>
        </w:rPr>
      </w:pPr>
    </w:p>
    <w:p>
      <w:pPr>
        <w:spacing w:line="480" w:lineRule="exact"/>
        <w:rPr>
          <w:rFonts w:hint="default" w:ascii="Times New Roman" w:hAnsi="Times New Roman" w:cs="Times New Roman"/>
          <w:sz w:val="20"/>
          <w:szCs w:val="20"/>
        </w:rPr>
      </w:pPr>
    </w:p>
    <w:p>
      <w:pPr>
        <w:spacing w:line="480" w:lineRule="exact"/>
        <w:rPr>
          <w:rFonts w:hint="default" w:ascii="Times New Roman" w:hAnsi="Times New Roman" w:cs="Times New Roman"/>
          <w:sz w:val="20"/>
          <w:szCs w:val="20"/>
        </w:rPr>
      </w:pPr>
    </w:p>
    <w:p>
      <w:pPr>
        <w:spacing w:line="480" w:lineRule="exact"/>
        <w:rPr>
          <w:rFonts w:hint="default" w:ascii="Times New Roman" w:hAnsi="Times New Roman" w:cs="Times New Roman"/>
          <w:sz w:val="20"/>
          <w:szCs w:val="20"/>
        </w:rPr>
      </w:pPr>
    </w:p>
    <w:p>
      <w:pPr>
        <w:spacing w:line="480" w:lineRule="exact"/>
        <w:rPr>
          <w:rFonts w:hint="default" w:ascii="Times New Roman" w:hAnsi="Times New Roman" w:cs="Times New Roman"/>
          <w:sz w:val="20"/>
          <w:szCs w:val="20"/>
        </w:rPr>
      </w:pPr>
    </w:p>
    <w:p>
      <w:pPr>
        <w:keepNext w:val="0"/>
        <w:keepLines w:val="0"/>
        <w:pageBreakBefore w:val="0"/>
        <w:widowControl w:val="0"/>
        <w:kinsoku/>
        <w:wordWrap/>
        <w:overflowPunct/>
        <w:topLinePunct w:val="0"/>
        <w:autoSpaceDE/>
        <w:autoSpaceDN/>
        <w:bidi w:val="0"/>
        <w:adjustRightInd/>
        <w:snapToGrid/>
        <w:spacing w:line="576" w:lineRule="exact"/>
        <w:ind w:left="-2" w:leftChars="-1" w:firstLine="2"/>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sz w:val="20"/>
          <w:szCs w:val="20"/>
        </w:rPr>
      </w:pPr>
      <w:r>
        <w:rPr>
          <w:rFonts w:hint="default" w:ascii="Times New Roman" w:hAnsi="Times New Roman" w:eastAsia="仿宋_GB2312" w:cs="Times New Roman"/>
          <w:sz w:val="32"/>
          <w:szCs w:val="32"/>
        </w:rPr>
        <w:t>黔国企党建</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发〔</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spacing w:line="480" w:lineRule="exact"/>
        <w:rPr>
          <w:rFonts w:hint="default" w:ascii="Times New Roman" w:hAnsi="Times New Roman" w:cs="Times New Roman"/>
          <w:sz w:val="20"/>
          <w:szCs w:val="2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关于印发《20</w:t>
      </w:r>
      <w:r>
        <w:rPr>
          <w:rFonts w:hint="default" w:ascii="Times New Roman" w:hAnsi="Times New Roman" w:eastAsia="方正小标宋简体" w:cs="Times New Roman"/>
          <w:sz w:val="44"/>
          <w:szCs w:val="44"/>
          <w:lang w:val="en-US" w:eastAsia="zh-CN"/>
        </w:rPr>
        <w:t>21</w:t>
      </w:r>
      <w:r>
        <w:rPr>
          <w:rFonts w:hint="default" w:ascii="Times New Roman" w:hAnsi="Times New Roman" w:eastAsia="方正小标宋简体" w:cs="Times New Roman"/>
          <w:sz w:val="44"/>
          <w:szCs w:val="44"/>
        </w:rPr>
        <w:t>年全省</w:t>
      </w:r>
      <w:r>
        <w:rPr>
          <w:rFonts w:hint="default" w:ascii="Times New Roman" w:hAnsi="Times New Roman" w:eastAsia="方正小标宋简体" w:cs="Times New Roman"/>
          <w:sz w:val="44"/>
          <w:szCs w:val="44"/>
          <w:lang w:eastAsia="zh-CN"/>
        </w:rPr>
        <w:t>抓党建促国有企业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高质量发展重点任务清单</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省委国企党建工作领导小组各成员单位，各市（州）党委国企党建工作领导小组（国企工委），各省属国有企业党组织：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《2021年全省抓党建促国有企业高质量发展重点任务清单》已经省委国企党建工作领导小组审定，现印发你们，请结合实际认真抓好落实。</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sectPr>
          <w:footerReference r:id="rId4" w:type="default"/>
          <w:headerReference r:id="rId3" w:type="even"/>
          <w:footerReference r:id="rId5" w:type="even"/>
          <w:pgSz w:w="11906" w:h="16838"/>
          <w:pgMar w:top="2098" w:right="1474" w:bottom="1300" w:left="1587" w:header="851" w:footer="992" w:gutter="0"/>
          <w:pgNumType w:fmt="numberInDash" w:start="1"/>
          <w:cols w:space="425" w:num="1"/>
          <w:docGrid w:type="lines" w:linePitch="312" w:charSpace="0"/>
        </w:sect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tbl>
      <w:tblPr>
        <w:tblStyle w:val="6"/>
        <w:tblW w:w="141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80"/>
        <w:gridCol w:w="1857"/>
        <w:gridCol w:w="7086"/>
        <w:gridCol w:w="2000"/>
        <w:gridCol w:w="1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14106" w:type="dxa"/>
            <w:gridSpan w:val="5"/>
            <w:tcBorders>
              <w:top w:val="nil"/>
              <w:left w:val="nil"/>
              <w:bottom w:val="single" w:color="auto" w:sz="4" w:space="0"/>
              <w:right w:val="nil"/>
            </w:tcBorders>
            <w:noWrap/>
            <w:tcMar>
              <w:top w:w="15" w:type="dxa"/>
              <w:left w:w="15" w:type="dxa"/>
              <w:right w:w="15" w:type="dxa"/>
            </w:tcMar>
            <w:vAlign w:val="center"/>
          </w:tcPr>
          <w:p>
            <w:pPr>
              <w:pStyle w:val="2"/>
              <w:rPr>
                <w:rFonts w:hint="default" w:ascii="Times New Roman" w:hAnsi="Times New Roman" w:cs="Times New Roman"/>
                <w:lang w:val="en-US" w:eastAsia="zh-CN"/>
              </w:rPr>
            </w:pPr>
          </w:p>
          <w:p>
            <w:pPr>
              <w:keepNext w:val="0"/>
              <w:keepLines w:val="0"/>
              <w:pageBreakBefore w:val="0"/>
              <w:widowControl w:val="0"/>
              <w:numPr>
                <w:ilvl w:val="0"/>
                <w:numId w:val="0"/>
              </w:numPr>
              <w:kinsoku/>
              <w:wordWrap/>
              <w:topLinePunct w:val="0"/>
              <w:autoSpaceDE/>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2021</w:t>
            </w:r>
            <w:r>
              <w:rPr>
                <w:rFonts w:hint="default" w:ascii="Times New Roman" w:hAnsi="Times New Roman" w:eastAsia="方正小标宋简体" w:cs="Times New Roman"/>
                <w:sz w:val="44"/>
                <w:szCs w:val="44"/>
              </w:rPr>
              <w:t>年全省</w:t>
            </w:r>
            <w:r>
              <w:rPr>
                <w:rFonts w:hint="default" w:ascii="Times New Roman" w:hAnsi="Times New Roman" w:eastAsia="方正小标宋简体" w:cs="Times New Roman"/>
                <w:sz w:val="44"/>
                <w:szCs w:val="44"/>
                <w:lang w:eastAsia="zh-CN"/>
              </w:rPr>
              <w:t>抓党建促</w:t>
            </w:r>
            <w:r>
              <w:rPr>
                <w:rFonts w:hint="default" w:ascii="Times New Roman" w:hAnsi="Times New Roman" w:eastAsia="方正小标宋简体" w:cs="Times New Roman"/>
                <w:sz w:val="44"/>
                <w:szCs w:val="44"/>
              </w:rPr>
              <w:t>国有企业</w:t>
            </w:r>
            <w:r>
              <w:rPr>
                <w:rFonts w:hint="default" w:ascii="Times New Roman" w:hAnsi="Times New Roman" w:eastAsia="方正小标宋简体" w:cs="Times New Roman"/>
                <w:sz w:val="44"/>
                <w:szCs w:val="44"/>
                <w:lang w:eastAsia="zh-CN"/>
              </w:rPr>
              <w:t>高质量发展</w:t>
            </w:r>
            <w:r>
              <w:rPr>
                <w:rFonts w:hint="default" w:ascii="Times New Roman" w:hAnsi="Times New Roman" w:eastAsia="方正小标宋简体" w:cs="Times New Roman"/>
                <w:sz w:val="44"/>
                <w:szCs w:val="44"/>
              </w:rPr>
              <w:t>重点任务清单</w:t>
            </w:r>
          </w:p>
          <w:p>
            <w:pPr>
              <w:pStyle w:val="2"/>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1380"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项目</w:t>
            </w:r>
          </w:p>
        </w:tc>
        <w:tc>
          <w:tcPr>
            <w:tcW w:w="185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重点任务</w:t>
            </w:r>
          </w:p>
        </w:tc>
        <w:tc>
          <w:tcPr>
            <w:tcW w:w="708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工作措施</w:t>
            </w:r>
          </w:p>
        </w:tc>
        <w:tc>
          <w:tcPr>
            <w:tcW w:w="200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责任单位</w:t>
            </w:r>
          </w:p>
        </w:tc>
        <w:tc>
          <w:tcPr>
            <w:tcW w:w="1783"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1380"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黑体" w:cs="Times New Roman"/>
                <w:i w:val="0"/>
                <w:color w:val="auto"/>
                <w:sz w:val="20"/>
                <w:szCs w:val="20"/>
                <w:u w:val="none"/>
                <w:lang w:eastAsia="zh-CN"/>
              </w:rPr>
            </w:pPr>
            <w:r>
              <w:rPr>
                <w:rFonts w:hint="default" w:ascii="Times New Roman" w:hAnsi="Times New Roman" w:eastAsia="黑体" w:cs="Times New Roman"/>
                <w:b w:val="0"/>
                <w:bCs w:val="0"/>
                <w:i w:val="0"/>
                <w:color w:val="auto"/>
                <w:sz w:val="20"/>
                <w:szCs w:val="20"/>
                <w:u w:val="none"/>
                <w:lang w:val="en-US" w:eastAsia="zh-CN"/>
              </w:rPr>
              <w:t>一、</w:t>
            </w:r>
            <w:r>
              <w:rPr>
                <w:rFonts w:hint="default" w:ascii="Times New Roman" w:hAnsi="Times New Roman" w:eastAsia="黑体" w:cs="Times New Roman"/>
                <w:b w:val="0"/>
                <w:bCs w:val="0"/>
                <w:i w:val="0"/>
                <w:color w:val="auto"/>
                <w:sz w:val="20"/>
                <w:szCs w:val="20"/>
                <w:u w:val="none"/>
              </w:rPr>
              <w:t>旗帜鲜明讲政治，切实增强抓党建促国有企业高质量发展的责任感使命感</w:t>
            </w:r>
            <w:r>
              <w:rPr>
                <w:rFonts w:hint="default" w:ascii="Times New Roman" w:hAnsi="Times New Roman" w:eastAsia="黑体" w:cs="Times New Roman"/>
                <w:b w:val="0"/>
                <w:bCs w:val="0"/>
                <w:i w:val="0"/>
                <w:color w:val="auto"/>
                <w:sz w:val="20"/>
                <w:szCs w:val="20"/>
                <w:u w:val="none"/>
                <w:lang w:eastAsia="zh-CN"/>
              </w:rPr>
              <w:t>。</w:t>
            </w:r>
          </w:p>
        </w:tc>
        <w:tc>
          <w:tcPr>
            <w:tcW w:w="185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sz w:val="20"/>
                <w:szCs w:val="20"/>
                <w:u w:val="none"/>
              </w:rPr>
            </w:pPr>
            <w:r>
              <w:rPr>
                <w:rFonts w:hint="default" w:ascii="Times New Roman" w:hAnsi="Times New Roman" w:eastAsia="楷体_GB2312" w:cs="Times New Roman"/>
                <w:b w:val="0"/>
                <w:bCs w:val="0"/>
                <w:i w:val="0"/>
                <w:color w:val="auto"/>
                <w:kern w:val="0"/>
                <w:sz w:val="20"/>
                <w:szCs w:val="20"/>
                <w:u w:val="none"/>
                <w:lang w:val="en-US" w:eastAsia="zh-CN" w:bidi="ar"/>
              </w:rPr>
              <w:t>1.深入学习贯彻习近平总书记关于国资国企改革发展和党的建设重要论述。</w:t>
            </w:r>
          </w:p>
        </w:tc>
        <w:tc>
          <w:tcPr>
            <w:tcW w:w="708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（1）</w:t>
            </w:r>
            <w:r>
              <w:rPr>
                <w:rFonts w:hint="default" w:ascii="Times New Roman" w:hAnsi="Times New Roman" w:eastAsia="仿宋_GB2312" w:cs="Times New Roman"/>
                <w:b w:val="0"/>
                <w:bCs w:val="0"/>
                <w:i w:val="0"/>
                <w:color w:val="auto"/>
                <w:kern w:val="0"/>
                <w:sz w:val="20"/>
                <w:szCs w:val="20"/>
                <w:u w:val="none"/>
                <w:lang w:val="en-US" w:eastAsia="zh-CN" w:bidi="ar"/>
              </w:rPr>
              <w:t>进一步学懂弄通做实习近平总书记关于国资国企改革发展和党的建设重要论述，增强“四个意识”、坚定“四个自信”、做到“两个维护”，不折不扣贯彻落实好总书记的重要指示精神，抓好党建促国有企业高质量发展。</w:t>
            </w:r>
          </w:p>
        </w:tc>
        <w:tc>
          <w:tcPr>
            <w:tcW w:w="20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各级国资监管机构、各国有企业党组织、各市（州）国企党建工作领导机构</w:t>
            </w:r>
          </w:p>
        </w:tc>
        <w:tc>
          <w:tcPr>
            <w:tcW w:w="178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13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sz w:val="20"/>
                <w:szCs w:val="20"/>
                <w:u w:val="none"/>
              </w:rPr>
            </w:pPr>
            <w:r>
              <w:rPr>
                <w:rFonts w:hint="default" w:ascii="Times New Roman" w:hAnsi="Times New Roman" w:eastAsia="楷体_GB2312" w:cs="Times New Roman"/>
                <w:b w:val="0"/>
                <w:bCs w:val="0"/>
                <w:i w:val="0"/>
                <w:color w:val="auto"/>
                <w:kern w:val="0"/>
                <w:sz w:val="20"/>
                <w:szCs w:val="20"/>
                <w:u w:val="none"/>
                <w:lang w:val="en-US" w:eastAsia="zh-CN" w:bidi="ar"/>
              </w:rPr>
              <w:t>2.贯彻落实十九届五中全会、中央经济工作会议和省委十二届八次全会、省委经济工作会议精神。</w:t>
            </w:r>
          </w:p>
        </w:tc>
        <w:tc>
          <w:tcPr>
            <w:tcW w:w="7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lang w:val="en-US" w:eastAsia="zh-CN"/>
              </w:rPr>
            </w:pPr>
            <w:r>
              <w:rPr>
                <w:rFonts w:hint="default" w:ascii="Times New Roman" w:hAnsi="Times New Roman" w:eastAsia="仿宋_GB2312" w:cs="Times New Roman"/>
                <w:b/>
                <w:bCs/>
                <w:i w:val="0"/>
                <w:color w:val="auto"/>
                <w:kern w:val="0"/>
                <w:sz w:val="20"/>
                <w:szCs w:val="20"/>
                <w:u w:val="none"/>
                <w:lang w:val="en-US" w:eastAsia="zh-CN" w:bidi="ar"/>
              </w:rPr>
              <w:t>（2）</w:t>
            </w:r>
            <w:r>
              <w:rPr>
                <w:rFonts w:hint="default" w:ascii="Times New Roman" w:hAnsi="Times New Roman" w:eastAsia="仿宋_GB2312" w:cs="Times New Roman"/>
                <w:b w:val="0"/>
                <w:bCs w:val="0"/>
                <w:i w:val="0"/>
                <w:color w:val="auto"/>
                <w:kern w:val="0"/>
                <w:sz w:val="20"/>
                <w:szCs w:val="20"/>
                <w:u w:val="none"/>
                <w:lang w:val="en-US" w:eastAsia="zh-CN" w:bidi="ar"/>
              </w:rPr>
              <w:t>对标“一高三新”定位定向，以高质量发展为主题，以深化供给侧结构性改革为主线，不断优化资本布局，持续提升国有企业的市场竞争力、盈利能力和可持续发展能力。坚持更高标准、更高质量，奋力推动国企党建各项任务落实落地。</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各级国资监管机构、各国有企业党组织、各市（州）国企党建工作领导机构</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1380"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sz w:val="20"/>
                <w:szCs w:val="20"/>
                <w:u w:val="none"/>
              </w:rPr>
            </w:pPr>
            <w:r>
              <w:rPr>
                <w:rFonts w:hint="default" w:ascii="Times New Roman" w:hAnsi="Times New Roman" w:eastAsia="楷体_GB2312" w:cs="Times New Roman"/>
                <w:b w:val="0"/>
                <w:bCs w:val="0"/>
                <w:i w:val="0"/>
                <w:color w:val="auto"/>
                <w:kern w:val="0"/>
                <w:sz w:val="20"/>
                <w:szCs w:val="20"/>
                <w:u w:val="none"/>
                <w:lang w:val="en-US" w:eastAsia="zh-CN" w:bidi="ar"/>
              </w:rPr>
              <w:t>3.解决当前我省国有企业改革发展和党的建设突出问题。</w:t>
            </w:r>
          </w:p>
        </w:tc>
        <w:tc>
          <w:tcPr>
            <w:tcW w:w="708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（3）</w:t>
            </w:r>
            <w:r>
              <w:rPr>
                <w:rFonts w:hint="default" w:ascii="Times New Roman" w:hAnsi="Times New Roman" w:eastAsia="仿宋_GB2312" w:cs="Times New Roman"/>
                <w:b w:val="0"/>
                <w:bCs w:val="0"/>
                <w:i w:val="0"/>
                <w:color w:val="auto"/>
                <w:kern w:val="0"/>
                <w:sz w:val="20"/>
                <w:szCs w:val="20"/>
                <w:u w:val="none"/>
                <w:lang w:val="en-US" w:eastAsia="zh-CN" w:bidi="ar"/>
              </w:rPr>
              <w:t>坚持目标导向、问题导向、结果导向，找准抓党建促国有企业高质量发展的发力点，研究对策措施，拿出硬招实招，不断增强企业核心竞争力、创新力和防风险能力。</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各级国资监管机构、各国有企业党组织、各市（州）国企党建工作领导机构</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8月底前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4" w:hRule="atLeast"/>
          <w:jc w:val="center"/>
        </w:trPr>
        <w:tc>
          <w:tcPr>
            <w:tcW w:w="138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二、聚焦高质量发展主题，在推动全省发展战略落实中彰显挑大梁、主力军的责任担当。</w:t>
            </w: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二、聚焦高质量发展主题，在推动全省发展战略落实中彰显挑大梁、主力军的责任担当。</w:t>
            </w: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二、聚焦高质量发展主题，在推动全省发展战略落实中彰显挑大梁、主力军的责任担当。</w:t>
            </w: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cs="Times New Roman"/>
                <w:color w:val="auto"/>
              </w:rPr>
            </w:pPr>
          </w:p>
          <w:p>
            <w:pPr>
              <w:pStyle w:val="2"/>
              <w:rPr>
                <w:rFonts w:hint="default" w:ascii="Times New Roman" w:hAnsi="Times New Roman" w:eastAsia="仿宋_GB2312" w:cs="Times New Roman"/>
                <w:i w:val="0"/>
                <w:color w:val="auto"/>
                <w:sz w:val="20"/>
                <w:szCs w:val="20"/>
                <w:u w:val="none"/>
              </w:rPr>
            </w:pPr>
          </w:p>
          <w:p>
            <w:pPr>
              <w:pStyle w:val="2"/>
              <w:rPr>
                <w:rFonts w:hint="default" w:ascii="Times New Roman" w:hAnsi="Times New Roman" w:eastAsia="仿宋_GB2312" w:cs="Times New Roman"/>
                <w:i w:val="0"/>
                <w:color w:val="auto"/>
                <w:sz w:val="20"/>
                <w:szCs w:val="20"/>
                <w:u w:val="none"/>
              </w:rPr>
            </w:pPr>
          </w:p>
          <w:p>
            <w:pPr>
              <w:pStyle w:val="2"/>
              <w:rPr>
                <w:rFonts w:hint="default" w:ascii="Times New Roman" w:hAnsi="Times New Roman" w:eastAsia="仿宋_GB2312" w:cs="Times New Roman"/>
                <w:i w:val="0"/>
                <w:color w:val="auto"/>
                <w:sz w:val="20"/>
                <w:szCs w:val="20"/>
                <w:u w:val="none"/>
              </w:rPr>
            </w:pPr>
          </w:p>
          <w:p>
            <w:pPr>
              <w:pStyle w:val="2"/>
              <w:rPr>
                <w:rFonts w:hint="default" w:ascii="Times New Roman" w:hAnsi="Times New Roman" w:eastAsia="仿宋_GB2312" w:cs="Times New Roman"/>
                <w:i w:val="0"/>
                <w:color w:val="auto"/>
                <w:sz w:val="20"/>
                <w:szCs w:val="20"/>
                <w:u w:val="none"/>
              </w:rPr>
            </w:pPr>
          </w:p>
          <w:p>
            <w:pPr>
              <w:pStyle w:val="2"/>
              <w:rPr>
                <w:rFonts w:hint="default" w:ascii="Times New Roman" w:hAnsi="Times New Roman" w:eastAsia="仿宋_GB2312" w:cs="Times New Roman"/>
                <w:i w:val="0"/>
                <w:color w:val="auto"/>
                <w:sz w:val="20"/>
                <w:szCs w:val="20"/>
                <w:u w:val="none"/>
              </w:rPr>
            </w:pPr>
          </w:p>
          <w:p>
            <w:pPr>
              <w:pStyle w:val="2"/>
              <w:rPr>
                <w:rFonts w:hint="default" w:ascii="Times New Roman" w:hAnsi="Times New Roman" w:eastAsia="仿宋_GB2312" w:cs="Times New Roman"/>
                <w:i w:val="0"/>
                <w:color w:val="auto"/>
                <w:sz w:val="20"/>
                <w:szCs w:val="20"/>
                <w:u w:val="none"/>
              </w:rPr>
            </w:pPr>
          </w:p>
          <w:p>
            <w:pPr>
              <w:pStyle w:val="2"/>
              <w:rPr>
                <w:rFonts w:hint="default" w:ascii="Times New Roman" w:hAnsi="Times New Roman" w:eastAsia="仿宋_GB2312" w:cs="Times New Roman"/>
                <w:i w:val="0"/>
                <w:color w:val="auto"/>
                <w:sz w:val="20"/>
                <w:szCs w:val="20"/>
                <w:u w:val="none"/>
              </w:rPr>
            </w:pPr>
          </w:p>
          <w:p>
            <w:pPr>
              <w:pStyle w:val="2"/>
              <w:rPr>
                <w:rFonts w:hint="default" w:ascii="Times New Roman" w:hAnsi="Times New Roman" w:eastAsia="仿宋_GB2312" w:cs="Times New Roman"/>
                <w:i w:val="0"/>
                <w:color w:val="auto"/>
                <w:sz w:val="20"/>
                <w:szCs w:val="20"/>
                <w:u w:val="none"/>
              </w:rPr>
            </w:pPr>
          </w:p>
          <w:p>
            <w:pPr>
              <w:pStyle w:val="2"/>
              <w:rPr>
                <w:rFonts w:hint="default" w:ascii="Times New Roman" w:hAnsi="Times New Roman" w:eastAsia="仿宋_GB2312" w:cs="Times New Roman"/>
                <w:i w:val="0"/>
                <w:color w:val="auto"/>
                <w:sz w:val="20"/>
                <w:szCs w:val="20"/>
                <w:u w:val="none"/>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黑体" w:cs="Times New Roman"/>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仿宋_GB2312"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二、聚焦高质量发展主题，在推动全省发展战略落实中彰显挑大梁、主力军的责任担当。</w:t>
            </w:r>
          </w:p>
        </w:tc>
        <w:tc>
          <w:tcPr>
            <w:tcW w:w="18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2"/>
              <w:widowControl w:val="0"/>
              <w:numPr>
                <w:ilvl w:val="0"/>
                <w:numId w:val="0"/>
              </w:numPr>
              <w:jc w:val="both"/>
              <w:rPr>
                <w:rFonts w:hint="default" w:ascii="Times New Roman" w:hAnsi="Times New Roman" w:cs="Times New Roman"/>
                <w:color w:val="auto"/>
              </w:rPr>
            </w:pPr>
          </w:p>
          <w:p>
            <w:pPr>
              <w:pStyle w:val="2"/>
              <w:widowControl w:val="0"/>
              <w:numPr>
                <w:ilvl w:val="0"/>
                <w:numId w:val="0"/>
              </w:numPr>
              <w:jc w:val="both"/>
              <w:rPr>
                <w:rFonts w:hint="default" w:ascii="Times New Roman" w:hAnsi="Times New Roman" w:cs="Times New Roman"/>
                <w:color w:val="auto"/>
              </w:rPr>
            </w:pPr>
          </w:p>
          <w:p>
            <w:pPr>
              <w:pStyle w:val="2"/>
              <w:widowControl w:val="0"/>
              <w:numPr>
                <w:ilvl w:val="0"/>
                <w:numId w:val="0"/>
              </w:numPr>
              <w:jc w:val="both"/>
              <w:rPr>
                <w:rFonts w:hint="default" w:ascii="Times New Roman" w:hAnsi="Times New Roman" w:cs="Times New Roman"/>
                <w:color w:val="auto"/>
              </w:rPr>
            </w:pPr>
            <w:r>
              <w:rPr>
                <w:rFonts w:hint="default" w:ascii="Times New Roman" w:hAnsi="Times New Roman" w:eastAsia="楷体_GB2312" w:cs="Times New Roman"/>
                <w:b w:val="0"/>
                <w:bCs w:val="0"/>
                <w:i w:val="0"/>
                <w:color w:val="auto"/>
                <w:kern w:val="0"/>
                <w:sz w:val="20"/>
                <w:szCs w:val="20"/>
                <w:u w:val="none"/>
                <w:lang w:val="en-US" w:eastAsia="zh-CN" w:bidi="ar"/>
              </w:rPr>
              <w:t>4.聚焦企业主业，不断提升发展质量效益。</w:t>
            </w:r>
          </w:p>
          <w:p>
            <w:pPr>
              <w:pStyle w:val="2"/>
              <w:widowControl w:val="0"/>
              <w:numPr>
                <w:ilvl w:val="0"/>
                <w:numId w:val="0"/>
              </w:numPr>
              <w:jc w:val="both"/>
              <w:rPr>
                <w:rFonts w:hint="default" w:ascii="Times New Roman" w:hAnsi="Times New Roman" w:cs="Times New Roman"/>
                <w:color w:val="auto"/>
              </w:rPr>
            </w:pPr>
          </w:p>
          <w:p>
            <w:pPr>
              <w:pStyle w:val="2"/>
              <w:widowControl w:val="0"/>
              <w:numPr>
                <w:ilvl w:val="0"/>
                <w:numId w:val="0"/>
              </w:numPr>
              <w:jc w:val="both"/>
              <w:rPr>
                <w:rFonts w:hint="default" w:ascii="Times New Roman" w:hAnsi="Times New Roman" w:cs="Times New Roman"/>
                <w:color w:val="auto"/>
              </w:rPr>
            </w:pPr>
          </w:p>
          <w:p>
            <w:pPr>
              <w:pStyle w:val="2"/>
              <w:widowControl w:val="0"/>
              <w:numPr>
                <w:ilvl w:val="0"/>
                <w:numId w:val="0"/>
              </w:numPr>
              <w:jc w:val="both"/>
              <w:rPr>
                <w:rFonts w:hint="default" w:ascii="Times New Roman" w:hAnsi="Times New Roman" w:cs="Times New Roman"/>
                <w:color w:val="auto"/>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楷体_GB2312" w:cs="Times New Roman"/>
                <w:b w:val="0"/>
                <w:bCs w:val="0"/>
                <w:i w:val="0"/>
                <w:color w:val="auto"/>
                <w:kern w:val="0"/>
                <w:sz w:val="20"/>
                <w:szCs w:val="20"/>
                <w:u w:val="none"/>
                <w:lang w:val="en-US" w:eastAsia="zh-CN" w:bidi="ar"/>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rPr>
            </w:pPr>
            <w:r>
              <w:rPr>
                <w:rFonts w:hint="default" w:ascii="Times New Roman" w:hAnsi="Times New Roman" w:eastAsia="楷体_GB2312" w:cs="Times New Roman"/>
                <w:b w:val="0"/>
                <w:bCs w:val="0"/>
                <w:i w:val="0"/>
                <w:color w:val="auto"/>
                <w:kern w:val="0"/>
                <w:sz w:val="20"/>
                <w:szCs w:val="20"/>
                <w:u w:val="none"/>
                <w:lang w:val="en-US" w:eastAsia="zh-CN" w:bidi="ar"/>
              </w:rPr>
              <w:t>4.聚焦企业主业，不断提升发展质量效益。</w:t>
            </w:r>
          </w:p>
        </w:tc>
        <w:tc>
          <w:tcPr>
            <w:tcW w:w="70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lang w:val="en-US" w:eastAsia="zh-CN"/>
              </w:rPr>
            </w:pPr>
            <w:r>
              <w:rPr>
                <w:rFonts w:hint="default" w:ascii="Times New Roman" w:hAnsi="Times New Roman" w:eastAsia="仿宋_GB2312" w:cs="Times New Roman"/>
                <w:b/>
                <w:bCs/>
                <w:i w:val="0"/>
                <w:color w:val="auto"/>
                <w:sz w:val="20"/>
                <w:szCs w:val="20"/>
                <w:u w:val="none"/>
                <w:lang w:val="en-US" w:eastAsia="zh-CN"/>
              </w:rPr>
              <w:t>（4）优化国有资本布局。</w:t>
            </w:r>
            <w:r>
              <w:rPr>
                <w:rFonts w:hint="default" w:ascii="Times New Roman" w:hAnsi="Times New Roman" w:eastAsia="仿宋_GB2312" w:cs="Times New Roman"/>
                <w:b w:val="0"/>
                <w:bCs w:val="0"/>
                <w:i w:val="0"/>
                <w:color w:val="auto"/>
                <w:sz w:val="20"/>
                <w:szCs w:val="20"/>
                <w:u w:val="none"/>
                <w:lang w:val="en-US" w:eastAsia="zh-CN"/>
              </w:rPr>
              <w:t>深入落实新型工业化战略部署，精心谋划实施做强一批、做优一批、做大一批“三个一批”重大项目，引导国有资本向十大工业产业集聚，推动资金、人才、技术等优势资源向企业主业集聚，巩固和增强国有资本在重点产业领域的竞争力、控制力、影响力。在新型城镇化、农业现代化、旅游产业化中找准定位、认真谋划、积极作为，在服务全省发展大局中不断优化国有资本布局、推动国有资产保值增值。</w:t>
            </w:r>
          </w:p>
        </w:tc>
        <w:tc>
          <w:tcPr>
            <w:tcW w:w="20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8"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b w:val="0"/>
                <w:bCs w:val="0"/>
                <w:i w:val="0"/>
                <w:color w:val="auto"/>
                <w:sz w:val="20"/>
                <w:szCs w:val="20"/>
                <w:u w:val="none"/>
              </w:rPr>
            </w:pPr>
          </w:p>
        </w:tc>
        <w:tc>
          <w:tcPr>
            <w:tcW w:w="7086"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bCs/>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（5）突出实体经济。</w:t>
            </w:r>
            <w:r>
              <w:rPr>
                <w:rFonts w:hint="default" w:ascii="Times New Roman" w:hAnsi="Times New Roman" w:eastAsia="仿宋_GB2312" w:cs="Times New Roman"/>
                <w:b w:val="0"/>
                <w:bCs w:val="0"/>
                <w:i w:val="0"/>
                <w:color w:val="auto"/>
                <w:kern w:val="0"/>
                <w:sz w:val="20"/>
                <w:szCs w:val="20"/>
                <w:u w:val="none"/>
                <w:lang w:val="en-US" w:eastAsia="zh-CN" w:bidi="ar"/>
              </w:rPr>
              <w:t>把发展着力点放在实体经济上，调整优化企业主责主业，实施更为科学的主业管理和投资负面清单管理制度，加快制定非主业投资比例和投向的管理措施。抓好“两非两资”剥离处置工作，在2022年底前，企业剥离办社会职能和解决历史遗留问题全面收官。持续开展管理层级压缩和减少法人户数工作，管理层级原则上压缩到3级以内，清理注销与主业无关和没有竞争力的僵尸企业。</w:t>
            </w:r>
          </w:p>
        </w:tc>
        <w:tc>
          <w:tcPr>
            <w:tcW w:w="20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b w:val="0"/>
                <w:bCs w:val="0"/>
                <w:i w:val="0"/>
                <w:color w:val="auto"/>
                <w:sz w:val="20"/>
                <w:szCs w:val="20"/>
                <w:u w:val="none"/>
              </w:rPr>
            </w:pPr>
          </w:p>
        </w:tc>
        <w:tc>
          <w:tcPr>
            <w:tcW w:w="7086"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（6）突出效益效率。</w:t>
            </w:r>
            <w:r>
              <w:rPr>
                <w:rFonts w:hint="default" w:ascii="Times New Roman" w:hAnsi="Times New Roman" w:eastAsia="仿宋_GB2312" w:cs="Times New Roman"/>
                <w:b w:val="0"/>
                <w:bCs w:val="0"/>
                <w:i w:val="0"/>
                <w:color w:val="auto"/>
                <w:kern w:val="0"/>
                <w:sz w:val="20"/>
                <w:szCs w:val="20"/>
                <w:u w:val="none"/>
                <w:lang w:val="en-US" w:eastAsia="zh-CN" w:bidi="ar"/>
              </w:rPr>
              <w:t>立足于所处产业，提高与同行的竞争能力，保持良好的经营现金流，在效率和效益方面寻求突破，确保企业持续正常经营。</w:t>
            </w:r>
          </w:p>
        </w:tc>
        <w:tc>
          <w:tcPr>
            <w:tcW w:w="20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5"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sz w:val="20"/>
                <w:szCs w:val="20"/>
                <w:u w:val="none"/>
              </w:rPr>
            </w:pPr>
            <w:r>
              <w:rPr>
                <w:rFonts w:hint="default" w:ascii="Times New Roman" w:hAnsi="Times New Roman" w:eastAsia="楷体_GB2312" w:cs="Times New Roman"/>
                <w:b w:val="0"/>
                <w:bCs w:val="0"/>
                <w:i w:val="0"/>
                <w:color w:val="auto"/>
                <w:kern w:val="0"/>
                <w:sz w:val="20"/>
                <w:szCs w:val="20"/>
                <w:u w:val="none"/>
                <w:lang w:val="en-US" w:eastAsia="zh-CN" w:bidi="ar"/>
              </w:rPr>
              <w:t>5.聚焦深化改革，不断增强发展动力活力。</w:t>
            </w:r>
          </w:p>
        </w:tc>
        <w:tc>
          <w:tcPr>
            <w:tcW w:w="7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（7）推动国有企业增强市场化竞争主体意识。</w:t>
            </w:r>
            <w:r>
              <w:rPr>
                <w:rFonts w:hint="default" w:ascii="Times New Roman" w:hAnsi="Times New Roman" w:eastAsia="仿宋_GB2312" w:cs="Times New Roman"/>
                <w:b w:val="0"/>
                <w:bCs w:val="0"/>
                <w:i w:val="0"/>
                <w:color w:val="auto"/>
                <w:kern w:val="0"/>
                <w:sz w:val="20"/>
                <w:szCs w:val="20"/>
                <w:u w:val="none"/>
                <w:lang w:val="en-US" w:eastAsia="zh-CN" w:bidi="ar"/>
              </w:rPr>
              <w:t>树立“市场化、法治化”的意识，以培养百年企业为己任，进一步健全法人治理结构，形成反应灵敏、运行高效、充满活力的市场化竞争机制。</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lang w:val="en-US"/>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0"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楷体_GB2312" w:cs="Times New Roman"/>
                <w:b w:val="0"/>
                <w:bCs w:val="0"/>
                <w:i w:val="0"/>
                <w:color w:val="auto"/>
                <w:sz w:val="20"/>
                <w:szCs w:val="20"/>
                <w:u w:val="none"/>
              </w:rPr>
            </w:pPr>
          </w:p>
        </w:tc>
        <w:tc>
          <w:tcPr>
            <w:tcW w:w="7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（8）积极构建有效的内部治理体系。</w:t>
            </w:r>
            <w:r>
              <w:rPr>
                <w:rFonts w:hint="default" w:ascii="Times New Roman" w:hAnsi="Times New Roman" w:eastAsia="仿宋_GB2312" w:cs="Times New Roman"/>
                <w:b w:val="0"/>
                <w:bCs w:val="0"/>
                <w:i w:val="0"/>
                <w:color w:val="auto"/>
                <w:kern w:val="0"/>
                <w:sz w:val="20"/>
                <w:szCs w:val="20"/>
                <w:u w:val="none"/>
                <w:lang w:val="en-US" w:eastAsia="zh-CN" w:bidi="ar"/>
              </w:rPr>
              <w:t>深化劳动、人事、分配“三项制度”改革，推行经理层成员年度评估考核和任期制管理机制，有条件的企业要加快在子公司推行，2022年实现子公司全覆盖。全面推进用工市场化，推行员工公开招聘、管理人员竞争上岗、末等调整和不胜任退出机制。实施精准激励，建立健全按业绩贡献决定薪酬的分配机制，建立具有市场竞争优势的核心关键人才薪酬制度，鼓励符合条件的企业探索建立超额利润分享机制，将部门及个人奖金与公司经营目标挂钩，实行全员绩效考核、一岗一薪、换岗换薪，破除平均主义和“高水平大锅饭”，推动薪酬分配向做出突出贡献的人才和一线关键苦脏险累的岗位倾斜。</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lang w:val="en-US" w:eastAsia="zh-CN"/>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color w:val="auto"/>
                <w:sz w:val="20"/>
                <w:szCs w:val="20"/>
                <w:u w:val="none"/>
              </w:rPr>
            </w:pPr>
          </w:p>
        </w:tc>
        <w:tc>
          <w:tcPr>
            <w:tcW w:w="18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r>
              <w:rPr>
                <w:rFonts w:hint="default" w:ascii="Times New Roman" w:hAnsi="Times New Roman" w:eastAsia="楷体_GB2312" w:cs="Times New Roman"/>
                <w:b w:val="0"/>
                <w:bCs w:val="0"/>
                <w:i w:val="0"/>
                <w:color w:val="auto"/>
                <w:kern w:val="0"/>
                <w:sz w:val="20"/>
                <w:szCs w:val="20"/>
                <w:u w:val="none"/>
                <w:lang w:val="en-US" w:eastAsia="zh-CN" w:bidi="ar"/>
              </w:rPr>
              <w:t>6.扎实建立有针对性的监管机制。</w:t>
            </w: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r>
              <w:rPr>
                <w:rFonts w:hint="default" w:ascii="Times New Roman" w:hAnsi="Times New Roman" w:eastAsia="楷体_GB2312" w:cs="Times New Roman"/>
                <w:b w:val="0"/>
                <w:bCs w:val="0"/>
                <w:i w:val="0"/>
                <w:color w:val="auto"/>
                <w:kern w:val="0"/>
                <w:sz w:val="20"/>
                <w:szCs w:val="20"/>
                <w:u w:val="none"/>
                <w:lang w:val="en-US" w:eastAsia="zh-CN" w:bidi="ar"/>
              </w:rPr>
              <w:t>6.扎实建立有针对性的监管机制。</w:t>
            </w:r>
          </w:p>
        </w:tc>
        <w:tc>
          <w:tcPr>
            <w:tcW w:w="7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（9）着力拓宽外部董事来源渠道。</w:t>
            </w:r>
            <w:r>
              <w:rPr>
                <w:rFonts w:hint="default" w:ascii="Times New Roman" w:hAnsi="Times New Roman" w:eastAsia="仿宋_GB2312" w:cs="Times New Roman"/>
                <w:b w:val="0"/>
                <w:bCs w:val="0"/>
                <w:i w:val="0"/>
                <w:color w:val="auto"/>
                <w:kern w:val="0"/>
                <w:sz w:val="20"/>
                <w:szCs w:val="20"/>
                <w:u w:val="none"/>
                <w:lang w:val="en-US" w:eastAsia="zh-CN" w:bidi="ar"/>
              </w:rPr>
              <w:t>选聘专业化人才担任外部董事，2022年实现董事会中外部董事原则上占多数的目标。</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各级组织部门、国资监管机构，各国有企业党组织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4"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tc>
        <w:tc>
          <w:tcPr>
            <w:tcW w:w="7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（10）加快形成以管资本为主的国资监管体制机制。</w:t>
            </w:r>
            <w:r>
              <w:rPr>
                <w:rFonts w:hint="default" w:ascii="Times New Roman" w:hAnsi="Times New Roman" w:eastAsia="仿宋_GB2312" w:cs="Times New Roman"/>
                <w:b w:val="0"/>
                <w:bCs w:val="0"/>
                <w:i w:val="0"/>
                <w:color w:val="auto"/>
                <w:kern w:val="0"/>
                <w:sz w:val="20"/>
                <w:szCs w:val="20"/>
                <w:u w:val="none"/>
                <w:lang w:val="en-US" w:eastAsia="zh-CN" w:bidi="ar"/>
              </w:rPr>
              <w:t>推进监管理念、监管重点、监管方式、监管导向等多方位转变，提高监管的系统性、针对性、有效性。梳理优化国资监管机构内设机构职责和工作内容。优化管资本的方式手段，全面梳理工作流程、清单、制度，推进信息化与监管业务深度融合，提高管理的科学化、规范化水平。健全协同高效的监督机制，构建国资监管大格局，提高国资监管效能。严格执行重大改革事项报告制度。</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0"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sz w:val="20"/>
                <w:szCs w:val="20"/>
                <w:u w:val="none"/>
              </w:rPr>
            </w:pPr>
          </w:p>
        </w:tc>
        <w:tc>
          <w:tcPr>
            <w:tcW w:w="7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（11）充分发挥薪酬分配的激励作用。</w:t>
            </w:r>
            <w:r>
              <w:rPr>
                <w:rFonts w:hint="default" w:ascii="Times New Roman" w:hAnsi="Times New Roman" w:eastAsia="仿宋_GB2312" w:cs="Times New Roman"/>
                <w:b w:val="0"/>
                <w:bCs w:val="0"/>
                <w:i w:val="0"/>
                <w:color w:val="auto"/>
                <w:kern w:val="0"/>
                <w:sz w:val="20"/>
                <w:szCs w:val="20"/>
                <w:u w:val="none"/>
                <w:lang w:val="en-US" w:eastAsia="zh-CN" w:bidi="ar"/>
              </w:rPr>
              <w:t>由省国资委牵头协调有关部门，确保上一年年薪次年5月底前发放到位，着力解决薪酬兑现延迟、激励滞后和弱化的问题。</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省国资委党委</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5月底前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7"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sz w:val="20"/>
                <w:szCs w:val="20"/>
                <w:u w:val="none"/>
              </w:rPr>
            </w:pPr>
          </w:p>
        </w:tc>
        <w:tc>
          <w:tcPr>
            <w:tcW w:w="7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（12）积极稳妥推进重组整合。</w:t>
            </w:r>
            <w:r>
              <w:rPr>
                <w:rFonts w:hint="default" w:ascii="Times New Roman" w:hAnsi="Times New Roman" w:eastAsia="仿宋_GB2312" w:cs="Times New Roman"/>
                <w:b w:val="0"/>
                <w:bCs w:val="0"/>
                <w:i w:val="0"/>
                <w:color w:val="auto"/>
                <w:kern w:val="0"/>
                <w:sz w:val="20"/>
                <w:szCs w:val="20"/>
                <w:u w:val="none"/>
                <w:lang w:val="en-US" w:eastAsia="zh-CN" w:bidi="ar"/>
              </w:rPr>
              <w:t>对省属国企重复投资或同质化竞争、无序竞争严重的行业领域，尤其是企业主业不明晰、竞争优势不明显、引领作用不突出的，在充分调研做好风险评估工作后，积极稳妥推进重组整合工作，进一步提高市场集中度，增强国有企业的核心竞争力，打造具有行业竞争优势的一流国有企业。</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lang w:eastAsia="zh-CN"/>
              </w:rPr>
            </w:pPr>
            <w:r>
              <w:rPr>
                <w:rFonts w:hint="default" w:ascii="Times New Roman" w:hAnsi="Times New Roman" w:eastAsia="仿宋_GB2312" w:cs="Times New Roman"/>
                <w:b w:val="0"/>
                <w:bCs w:val="0"/>
                <w:i w:val="0"/>
                <w:color w:val="auto"/>
                <w:sz w:val="20"/>
                <w:szCs w:val="20"/>
                <w:u w:val="none"/>
                <w:lang w:eastAsia="zh-CN"/>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lang w:val="en-US"/>
              </w:rPr>
            </w:pPr>
            <w:r>
              <w:rPr>
                <w:rFonts w:hint="default" w:ascii="Times New Roman" w:hAnsi="Times New Roman" w:eastAsia="仿宋_GB2312" w:cs="Times New Roman"/>
                <w:b w:val="0"/>
                <w:bCs w:val="0"/>
                <w:i w:val="0"/>
                <w:color w:val="auto"/>
                <w:kern w:val="0"/>
                <w:sz w:val="20"/>
                <w:szCs w:val="20"/>
                <w:u w:val="none"/>
                <w:lang w:val="en-US" w:eastAsia="zh-CN" w:bidi="ar"/>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00"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r>
              <w:rPr>
                <w:rFonts w:hint="default" w:ascii="Times New Roman" w:hAnsi="Times New Roman" w:eastAsia="楷体_GB2312" w:cs="Times New Roman"/>
                <w:b w:val="0"/>
                <w:bCs w:val="0"/>
                <w:i w:val="0"/>
                <w:color w:val="auto"/>
                <w:kern w:val="0"/>
                <w:sz w:val="20"/>
                <w:szCs w:val="20"/>
                <w:u w:val="none"/>
                <w:lang w:val="en-US" w:eastAsia="zh-CN" w:bidi="ar"/>
              </w:rPr>
              <w:t>7.聚焦创新驱动，不断提高企业竞争实力。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（13）大力推进科技创新。</w:t>
            </w:r>
            <w:r>
              <w:rPr>
                <w:rFonts w:hint="default" w:ascii="Times New Roman" w:hAnsi="Times New Roman" w:eastAsia="仿宋_GB2312" w:cs="Times New Roman"/>
                <w:b w:val="0"/>
                <w:bCs w:val="0"/>
                <w:i w:val="0"/>
                <w:color w:val="auto"/>
                <w:kern w:val="0"/>
                <w:sz w:val="20"/>
                <w:szCs w:val="20"/>
                <w:u w:val="none"/>
                <w:lang w:val="en-US" w:eastAsia="zh-CN" w:bidi="ar"/>
              </w:rPr>
              <w:t>积极对标世界科技发展前沿和行业关键技术标准，对接国家战略需求和我省推进“四化”部署要求，认真做好科技创新规划，确定科技创新方向和重点，大力引进和培育科技创新人才，完善相关激励机制，把最优秀的人才、最急需的资源、最先进的设备投入到跟主业相关的重大科技创新工程、关键核心技术攻坚上，不断提升企业核心竞争力。到2022年，省国资委监管企业中工业制造类企业研发投入不低于3%，其中重点企业不低于5%。</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lang w:val="en-US"/>
              </w:rPr>
            </w:pPr>
            <w:r>
              <w:rPr>
                <w:rFonts w:hint="default" w:ascii="Times New Roman" w:hAnsi="Times New Roman" w:eastAsia="仿宋_GB2312" w:cs="Times New Roman"/>
                <w:b w:val="0"/>
                <w:bCs w:val="0"/>
                <w:i w:val="0"/>
                <w:color w:val="auto"/>
                <w:kern w:val="0"/>
                <w:sz w:val="20"/>
                <w:szCs w:val="20"/>
                <w:u w:val="none"/>
                <w:lang w:val="en-US" w:eastAsia="zh-CN" w:bidi="ar"/>
              </w:rPr>
              <w:t>省国资委党委，各国有企业党组织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lang w:val="en-US"/>
              </w:rPr>
            </w:pPr>
            <w:r>
              <w:rPr>
                <w:rFonts w:hint="default" w:ascii="Times New Roman" w:hAnsi="Times New Roman" w:eastAsia="仿宋_GB2312" w:cs="Times New Roman"/>
                <w:b w:val="0"/>
                <w:bCs w:val="0"/>
                <w:i w:val="0"/>
                <w:color w:val="auto"/>
                <w:kern w:val="0"/>
                <w:sz w:val="20"/>
                <w:szCs w:val="20"/>
                <w:u w:val="none"/>
                <w:lang w:val="en-US" w:eastAsia="zh-CN" w:bidi="ar"/>
              </w:rPr>
              <w:t>12月底前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1"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bCs/>
                <w:i w:val="0"/>
                <w:color w:val="auto"/>
                <w:kern w:val="0"/>
                <w:sz w:val="20"/>
                <w:szCs w:val="20"/>
                <w:u w:val="none"/>
                <w:lang w:val="en-US" w:eastAsia="zh-CN" w:bidi="ar"/>
              </w:rPr>
              <w:t>（14）大力推进产品创新。</w:t>
            </w:r>
            <w:r>
              <w:rPr>
                <w:rFonts w:hint="default" w:ascii="Times New Roman" w:hAnsi="Times New Roman" w:eastAsia="仿宋_GB2312" w:cs="Times New Roman"/>
                <w:b w:val="0"/>
                <w:bCs w:val="0"/>
                <w:i w:val="0"/>
                <w:color w:val="auto"/>
                <w:kern w:val="0"/>
                <w:sz w:val="20"/>
                <w:szCs w:val="20"/>
                <w:u w:val="none"/>
                <w:lang w:val="en-US" w:eastAsia="zh-CN" w:bidi="ar"/>
              </w:rPr>
              <w:t>抢抓融入新发展格局机遇，深入研究行业发展趋势，找准自己在国内大循环和国际国内双循环中的位置，找准自己在本行业创新链产业链价值链中的比较优势，在需求牵引供给、供给创造需求的更高水平动态平衡中，生产出更多具有核心竞争力的高质量产品。</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7"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2"/>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bCs/>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（15）大力推进管理创新。</w:t>
            </w:r>
            <w:r>
              <w:rPr>
                <w:rFonts w:hint="default" w:ascii="Times New Roman" w:hAnsi="Times New Roman" w:eastAsia="仿宋_GB2312" w:cs="Times New Roman"/>
                <w:b w:val="0"/>
                <w:bCs w:val="0"/>
                <w:i w:val="0"/>
                <w:color w:val="auto"/>
                <w:kern w:val="0"/>
                <w:sz w:val="20"/>
                <w:szCs w:val="20"/>
                <w:u w:val="none"/>
                <w:lang w:val="en-US" w:eastAsia="zh-CN" w:bidi="ar"/>
              </w:rPr>
              <w:t>对标世界或国内一流企业找差距、抓提升，深入学习先进企业的管理经验、成功模式，在战略管理、组织管理、运营管理、财务管理、科技管理、风险管理、人力资源管理、信息化管理等八个方面狠下功夫，切实推进企业决策、计划、组织、执行、控制的流程优化，提升管理质量和水平,加快构建现代化管理体系，不断推进企业治理体系和治理能力现代化。制定企业年度改革创新计划，不断地挑战产品质量、成本、管理的极限，推动持续改革工作落实。国有企业的党委书记、董事长要成为改革创新的主体推动力量，国资委每年要下发改革创新任务，把改革创新工作作为重要考核指标。</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pStyle w:val="2"/>
              <w:rPr>
                <w:rFonts w:hint="default" w:ascii="Times New Roman" w:hAnsi="Times New Roman" w:cs="Times New Roman"/>
                <w:lang w:val="en-US" w:eastAsia="zh-CN"/>
              </w:rPr>
            </w:pPr>
          </w:p>
          <w:p>
            <w:pPr>
              <w:pStyle w:val="2"/>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楷体_GB2312" w:cs="Times New Roman"/>
                <w:b w:val="0"/>
                <w:bCs w:val="0"/>
                <w:i w:val="0"/>
                <w:color w:val="auto"/>
                <w:kern w:val="0"/>
                <w:sz w:val="20"/>
                <w:szCs w:val="20"/>
                <w:u w:val="none"/>
                <w:lang w:val="en-US" w:eastAsia="zh-CN" w:bidi="ar"/>
              </w:rPr>
            </w:pPr>
            <w:r>
              <w:rPr>
                <w:rFonts w:hint="default" w:ascii="Times New Roman" w:hAnsi="Times New Roman" w:eastAsia="楷体_GB2312" w:cs="Times New Roman"/>
                <w:b w:val="0"/>
                <w:bCs w:val="0"/>
                <w:i w:val="0"/>
                <w:color w:val="auto"/>
                <w:kern w:val="0"/>
                <w:sz w:val="20"/>
                <w:szCs w:val="20"/>
                <w:u w:val="none"/>
                <w:lang w:val="en-US" w:eastAsia="zh-CN" w:bidi="ar"/>
              </w:rPr>
              <w:t>8.聚焦发展和安全，有效防范化解重大风险。</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cs="Times New Roman"/>
              </w:rPr>
            </w:pPr>
          </w:p>
          <w:p>
            <w:pPr>
              <w:pStyle w:val="2"/>
              <w:rPr>
                <w:rFonts w:hint="default" w:ascii="Times New Roman" w:hAnsi="Times New Roman" w:eastAsia="仿宋_GB2312" w:cs="Times New Roman"/>
                <w:b w:val="0"/>
                <w:bCs w:val="0"/>
                <w:i w:val="0"/>
                <w:color w:val="auto"/>
                <w:sz w:val="20"/>
                <w:szCs w:val="20"/>
                <w:u w:val="none"/>
              </w:rPr>
            </w:pPr>
          </w:p>
          <w:p>
            <w:pPr>
              <w:pStyle w:val="2"/>
              <w:rPr>
                <w:rFonts w:hint="default" w:ascii="Times New Roman" w:hAnsi="Times New Roman" w:eastAsia="仿宋_GB2312" w:cs="Times New Roman"/>
                <w:b w:val="0"/>
                <w:bCs w:val="0"/>
                <w:i w:val="0"/>
                <w:color w:val="auto"/>
                <w:sz w:val="20"/>
                <w:szCs w:val="20"/>
                <w:u w:val="none"/>
              </w:rPr>
            </w:pPr>
          </w:p>
          <w:p>
            <w:pPr>
              <w:pStyle w:val="2"/>
              <w:rPr>
                <w:rFonts w:hint="default" w:ascii="Times New Roman" w:hAnsi="Times New Roman" w:eastAsia="仿宋_GB2312" w:cs="Times New Roman"/>
                <w:b w:val="0"/>
                <w:bCs w:val="0"/>
                <w:i w:val="0"/>
                <w:color w:val="auto"/>
                <w:sz w:val="20"/>
                <w:szCs w:val="20"/>
                <w:u w:val="none"/>
              </w:rPr>
            </w:pPr>
          </w:p>
          <w:p>
            <w:pPr>
              <w:pStyle w:val="2"/>
              <w:rPr>
                <w:rFonts w:hint="default" w:ascii="Times New Roman" w:hAnsi="Times New Roman" w:eastAsia="仿宋_GB2312" w:cs="Times New Roman"/>
                <w:b w:val="0"/>
                <w:bCs w:val="0"/>
                <w:i w:val="0"/>
                <w:color w:val="auto"/>
                <w:sz w:val="20"/>
                <w:szCs w:val="20"/>
                <w:u w:val="none"/>
              </w:rPr>
            </w:pPr>
          </w:p>
          <w:p>
            <w:pPr>
              <w:pStyle w:val="2"/>
              <w:rPr>
                <w:rFonts w:hint="default" w:ascii="Times New Roman" w:hAnsi="Times New Roman" w:eastAsia="仿宋_GB2312" w:cs="Times New Roman"/>
                <w:b w:val="0"/>
                <w:bCs w:val="0"/>
                <w:i w:val="0"/>
                <w:color w:val="auto"/>
                <w:sz w:val="20"/>
                <w:szCs w:val="20"/>
                <w:u w:val="none"/>
              </w:rPr>
            </w:pPr>
          </w:p>
          <w:p>
            <w:pPr>
              <w:pStyle w:val="2"/>
              <w:rPr>
                <w:rFonts w:hint="default" w:ascii="Times New Roman" w:hAnsi="Times New Roman" w:eastAsia="仿宋_GB2312" w:cs="Times New Roman"/>
                <w:b w:val="0"/>
                <w:bCs w:val="0"/>
                <w:i w:val="0"/>
                <w:color w:val="auto"/>
                <w:sz w:val="20"/>
                <w:szCs w:val="20"/>
                <w:u w:val="none"/>
              </w:rPr>
            </w:pPr>
          </w:p>
          <w:p>
            <w:pPr>
              <w:pStyle w:val="2"/>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bCs/>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（16）严控债务风险和投资风险。</w:t>
            </w:r>
            <w:r>
              <w:rPr>
                <w:rFonts w:hint="default" w:ascii="Times New Roman" w:hAnsi="Times New Roman" w:eastAsia="仿宋_GB2312" w:cs="Times New Roman"/>
                <w:b w:val="0"/>
                <w:bCs w:val="0"/>
                <w:i w:val="0"/>
                <w:color w:val="auto"/>
                <w:kern w:val="0"/>
                <w:sz w:val="20"/>
                <w:szCs w:val="20"/>
                <w:u w:val="none"/>
                <w:lang w:val="en-US" w:eastAsia="zh-CN" w:bidi="ar"/>
              </w:rPr>
              <w:t>建立债务风险预警机制和应急处置机制，加强债务风险动态监测和分类监管，重点抓好负债规模和资产负债率双重管控，定期排查债券兑付风险，确保不发生债券违约。通过拓宽融资渠道，优化债务结构，降低融资成本，分散融资风险。重点国有企业要通过多种措施，稳步降低资产负债率。集团公司要强化对子公司资产负债约束，将其纳入考核体系。严把高风险领域项目投资，严格参股投资和参股企业管理，严防PPP、垫资建设等业务风险。严禁短贷长投及超越财务承受能力的投资行为，坚决控制单纯扩大规模、产能过剩和低水平重复建设项目投资。高风险企业禁止实施推高资产负债率或债务规模的投资。</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（17）严控金融风险和法律合规风险。</w:t>
            </w:r>
            <w:r>
              <w:rPr>
                <w:rFonts w:hint="default" w:ascii="Times New Roman" w:hAnsi="Times New Roman" w:eastAsia="仿宋_GB2312" w:cs="Times New Roman"/>
                <w:b w:val="0"/>
                <w:bCs w:val="0"/>
                <w:i w:val="0"/>
                <w:color w:val="auto"/>
                <w:kern w:val="0"/>
                <w:sz w:val="20"/>
                <w:szCs w:val="20"/>
                <w:u w:val="none"/>
                <w:lang w:val="en-US" w:eastAsia="zh-CN" w:bidi="ar"/>
              </w:rPr>
              <w:t>坚持严控增量、优化存量，以产促融、以融促产，严禁脱离主业、严防脱实向虚，加强重点业务的日常监管和专项检查，守牢不发生引发区域性、系统性金融风险的底线。坚持把依法合规作为业务开展的前提、检验结果的标准，加强法治国企建设，尽快建立统一有效、全面覆盖、内容明确的合规制度准则，健全企业前期防范、过程控制及违规惩处机制。加强信用体系建设，不断完善信用工作机制，动态监测企业信用状况，整体提升企业信用管理水平。</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7"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（18）守好安全生产和生态环保底线。</w:t>
            </w:r>
            <w:r>
              <w:rPr>
                <w:rFonts w:hint="default" w:ascii="Times New Roman" w:hAnsi="Times New Roman" w:eastAsia="仿宋_GB2312" w:cs="Times New Roman"/>
                <w:b w:val="0"/>
                <w:bCs w:val="0"/>
                <w:i w:val="0"/>
                <w:color w:val="auto"/>
                <w:kern w:val="0"/>
                <w:sz w:val="20"/>
                <w:szCs w:val="20"/>
                <w:u w:val="none"/>
                <w:lang w:val="en-US" w:eastAsia="zh-CN" w:bidi="ar"/>
              </w:rPr>
              <w:t>落实好总书记对贵州工作指出的“守好发展和生态两条底线”的嘱托，坚持守土有责、守土负责、守土尽责，切实强化企业主体责任，严格落实安全生产和环境保护责任制，持续深入推进安全生产专项整治三年行动，确保不出现重大安全生产事故和生态环境事件。</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4" w:hRule="atLeast"/>
          <w:jc w:val="center"/>
        </w:trPr>
        <w:tc>
          <w:tcPr>
            <w:tcW w:w="1380" w:type="dxa"/>
            <w:vMerge w:val="restart"/>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三、坚持党的领导、加强党的建设，为推动国有企业高质量发展提供根本保证。</w:t>
            </w: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三、坚持党的领导、加强党的建设，为推动国有企业高质量发展提供根本保证。</w:t>
            </w: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三、坚持党的领导、加强党的建设，为推动国有企业高质量发展提供根本保证。</w:t>
            </w: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三、坚持党的领导、加强党的建设，为推动国有企业高质量发展提供根本保证。</w:t>
            </w:r>
          </w:p>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cs="Times New Roman"/>
                <w:color w:val="auto"/>
              </w:rPr>
            </w:pPr>
          </w:p>
        </w:tc>
        <w:tc>
          <w:tcPr>
            <w:tcW w:w="1857"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pStyle w:val="2"/>
              <w:ind w:left="0" w:leftChars="0" w:firstLine="0" w:firstLineChars="0"/>
              <w:rPr>
                <w:rFonts w:hint="default" w:ascii="Times New Roman" w:hAnsi="Times New Roman" w:eastAsia="楷体_GB2312" w:cs="Times New Roman"/>
                <w:b w:val="0"/>
                <w:bCs w:val="0"/>
                <w:i w:val="0"/>
                <w:color w:val="auto"/>
                <w:kern w:val="0"/>
                <w:sz w:val="20"/>
                <w:szCs w:val="20"/>
                <w:u w:val="none"/>
                <w:lang w:val="en-US" w:eastAsia="zh-CN" w:bidi="ar"/>
              </w:rPr>
            </w:pPr>
          </w:p>
          <w:p>
            <w:pPr>
              <w:pStyle w:val="2"/>
              <w:ind w:left="0" w:leftChars="0" w:firstLine="0" w:firstLineChars="0"/>
              <w:rPr>
                <w:rFonts w:hint="default" w:ascii="Times New Roman" w:hAnsi="Times New Roman" w:eastAsia="楷体_GB2312" w:cs="Times New Roman"/>
                <w:b w:val="0"/>
                <w:bCs w:val="0"/>
                <w:i w:val="0"/>
                <w:color w:val="auto"/>
                <w:kern w:val="0"/>
                <w:sz w:val="20"/>
                <w:szCs w:val="20"/>
                <w:u w:val="none"/>
                <w:lang w:val="en-US" w:eastAsia="zh-CN" w:bidi="ar"/>
              </w:rPr>
            </w:pPr>
          </w:p>
          <w:p>
            <w:pPr>
              <w:pStyle w:val="2"/>
              <w:ind w:left="0" w:leftChars="0" w:firstLine="0" w:firstLineChars="0"/>
              <w:rPr>
                <w:rFonts w:hint="default" w:ascii="Times New Roman" w:hAnsi="Times New Roman" w:eastAsia="楷体_GB2312" w:cs="Times New Roman"/>
                <w:b w:val="0"/>
                <w:bCs w:val="0"/>
                <w:i w:val="0"/>
                <w:color w:val="auto"/>
                <w:kern w:val="0"/>
                <w:sz w:val="20"/>
                <w:szCs w:val="20"/>
                <w:u w:val="none"/>
                <w:lang w:val="en-US" w:eastAsia="zh-CN" w:bidi="ar"/>
              </w:rPr>
            </w:pPr>
            <w:r>
              <w:rPr>
                <w:rFonts w:hint="default" w:ascii="Times New Roman" w:hAnsi="Times New Roman" w:eastAsia="楷体_GB2312" w:cs="Times New Roman"/>
                <w:b w:val="0"/>
                <w:bCs w:val="0"/>
                <w:i w:val="0"/>
                <w:color w:val="auto"/>
                <w:kern w:val="0"/>
                <w:sz w:val="20"/>
                <w:szCs w:val="20"/>
                <w:u w:val="none"/>
                <w:lang w:val="en-US" w:eastAsia="zh-CN" w:bidi="ar"/>
              </w:rPr>
              <w:t>9.持续深化党的政治建设。</w:t>
            </w:r>
          </w:p>
          <w:p>
            <w:pPr>
              <w:pStyle w:val="2"/>
              <w:ind w:left="0" w:leftChars="0" w:firstLine="0" w:firstLineChars="0"/>
              <w:rPr>
                <w:rFonts w:hint="default" w:ascii="Times New Roman" w:hAnsi="Times New Roman" w:eastAsia="楷体_GB2312" w:cs="Times New Roman"/>
                <w:b w:val="0"/>
                <w:bCs w:val="0"/>
                <w:i w:val="0"/>
                <w:color w:val="auto"/>
                <w:kern w:val="0"/>
                <w:sz w:val="20"/>
                <w:szCs w:val="20"/>
                <w:u w:val="none"/>
                <w:lang w:val="en-US" w:eastAsia="zh-CN" w:bidi="ar"/>
              </w:rPr>
            </w:pPr>
          </w:p>
          <w:p>
            <w:pPr>
              <w:pStyle w:val="2"/>
              <w:ind w:left="0" w:leftChars="0" w:firstLine="0" w:firstLineChars="0"/>
              <w:rPr>
                <w:rFonts w:hint="default" w:ascii="Times New Roman" w:hAnsi="Times New Roman" w:eastAsia="楷体_GB2312" w:cs="Times New Roman"/>
                <w:b w:val="0"/>
                <w:bCs w:val="0"/>
                <w:i w:val="0"/>
                <w:color w:val="auto"/>
                <w:kern w:val="0"/>
                <w:sz w:val="20"/>
                <w:szCs w:val="20"/>
                <w:u w:val="none"/>
                <w:lang w:val="en-US" w:eastAsia="zh-CN" w:bidi="ar"/>
              </w:rPr>
            </w:pPr>
          </w:p>
          <w:p>
            <w:pPr>
              <w:pStyle w:val="2"/>
              <w:ind w:left="0" w:leftChars="0" w:firstLine="0" w:firstLineChars="0"/>
              <w:rPr>
                <w:rFonts w:hint="default" w:ascii="Times New Roman" w:hAnsi="Times New Roman" w:eastAsia="楷体_GB2312" w:cs="Times New Roman"/>
                <w:b w:val="0"/>
                <w:bCs w:val="0"/>
                <w:i w:val="0"/>
                <w:color w:val="auto"/>
                <w:kern w:val="0"/>
                <w:sz w:val="20"/>
                <w:szCs w:val="20"/>
                <w:u w:val="none"/>
                <w:lang w:val="en-US" w:eastAsia="zh-CN" w:bidi="ar"/>
              </w:rPr>
            </w:pPr>
          </w:p>
          <w:p>
            <w:pPr>
              <w:pStyle w:val="2"/>
              <w:ind w:left="0" w:leftChars="0" w:firstLine="0" w:firstLineChars="0"/>
              <w:rPr>
                <w:rFonts w:hint="default" w:ascii="Times New Roman" w:hAnsi="Times New Roman" w:eastAsia="楷体_GB2312" w:cs="Times New Roman"/>
                <w:b w:val="0"/>
                <w:bCs w:val="0"/>
                <w:i w:val="0"/>
                <w:color w:val="auto"/>
                <w:kern w:val="0"/>
                <w:sz w:val="20"/>
                <w:szCs w:val="20"/>
                <w:u w:val="none"/>
                <w:lang w:val="en-US" w:eastAsia="zh-CN" w:bidi="ar"/>
              </w:rPr>
            </w:pPr>
          </w:p>
          <w:p>
            <w:pPr>
              <w:pStyle w:val="2"/>
              <w:ind w:left="0" w:leftChars="0" w:firstLine="0" w:firstLineChars="0"/>
              <w:rPr>
                <w:rFonts w:hint="default" w:ascii="Times New Roman" w:hAnsi="Times New Roman" w:eastAsia="楷体_GB2312" w:cs="Times New Roman"/>
                <w:b w:val="0"/>
                <w:bCs w:val="0"/>
                <w:i w:val="0"/>
                <w:color w:val="auto"/>
                <w:kern w:val="0"/>
                <w:sz w:val="20"/>
                <w:szCs w:val="20"/>
                <w:u w:val="none"/>
                <w:lang w:val="en-US" w:eastAsia="zh-CN" w:bidi="ar"/>
              </w:rPr>
            </w:pPr>
            <w:r>
              <w:rPr>
                <w:rFonts w:hint="default" w:ascii="Times New Roman" w:hAnsi="Times New Roman" w:eastAsia="楷体_GB2312" w:cs="Times New Roman"/>
                <w:b w:val="0"/>
                <w:bCs w:val="0"/>
                <w:i w:val="0"/>
                <w:color w:val="auto"/>
                <w:kern w:val="0"/>
                <w:sz w:val="20"/>
                <w:szCs w:val="20"/>
                <w:u w:val="none"/>
                <w:lang w:val="en-US" w:eastAsia="zh-CN" w:bidi="ar"/>
              </w:rPr>
              <w:t>9.持续深化党的政治建设。</w:t>
            </w:r>
          </w:p>
          <w:p>
            <w:pPr>
              <w:pStyle w:val="2"/>
              <w:rPr>
                <w:rFonts w:hint="default" w:ascii="Times New Roman" w:hAnsi="Times New Roman" w:eastAsia="楷体_GB2312" w:cs="Times New Roman"/>
                <w:b w:val="0"/>
                <w:bCs w:val="0"/>
                <w:i w:val="0"/>
                <w:color w:val="auto"/>
                <w:kern w:val="0"/>
                <w:sz w:val="20"/>
                <w:szCs w:val="20"/>
                <w:u w:val="none"/>
                <w:lang w:val="en-US" w:eastAsia="zh-CN" w:bidi="ar"/>
              </w:rPr>
            </w:pPr>
          </w:p>
          <w:p>
            <w:pPr>
              <w:pStyle w:val="2"/>
              <w:ind w:left="0" w:leftChars="0" w:firstLine="0" w:firstLineChars="0"/>
              <w:rPr>
                <w:rFonts w:hint="default" w:ascii="Times New Roman" w:hAnsi="Times New Roman" w:eastAsia="楷体_GB2312" w:cs="Times New Roman"/>
                <w:b w:val="0"/>
                <w:bCs w:val="0"/>
                <w:i w:val="0"/>
                <w:color w:val="auto"/>
                <w:kern w:val="0"/>
                <w:sz w:val="20"/>
                <w:szCs w:val="20"/>
                <w:u w:val="none"/>
                <w:lang w:val="en-US" w:eastAsia="zh-CN" w:bidi="ar"/>
              </w:rPr>
            </w:pPr>
          </w:p>
        </w:tc>
        <w:tc>
          <w:tcPr>
            <w:tcW w:w="70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bCs/>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（19）扎实开展“忠诚干净担当、喜迎建党百年”专题教育。</w:t>
            </w:r>
            <w:r>
              <w:rPr>
                <w:rFonts w:hint="default" w:ascii="Times New Roman" w:hAnsi="Times New Roman" w:eastAsia="仿宋_GB2312" w:cs="Times New Roman"/>
                <w:b w:val="0"/>
                <w:bCs w:val="0"/>
                <w:i w:val="0"/>
                <w:color w:val="auto"/>
                <w:kern w:val="0"/>
                <w:sz w:val="20"/>
                <w:szCs w:val="20"/>
                <w:u w:val="none"/>
                <w:lang w:val="en-US" w:eastAsia="zh-CN" w:bidi="ar"/>
              </w:rPr>
              <w:t>结合庆祝建党100周年和全国国有企业党的建设工作会议召开5周年，持续深入强化党的创新理论武装，坚持“第一议题”制度，认真学习党史、新中国史、改革开放史、社会主义发展史，强化理想信念教育、爱国主义教育，做到学思用贯通、知信行合一，切实把学习成果转化为推动企业高质量发展的生动实践。开展“抓党建促国有企业高质量发展</w:t>
            </w:r>
            <w:r>
              <w:rPr>
                <w:rFonts w:hint="eastAsia" w:ascii="Times New Roman" w:hAnsi="Times New Roman" w:eastAsia="仿宋_GB2312" w:cs="Times New Roman"/>
                <w:b w:val="0"/>
                <w:bCs w:val="0"/>
                <w:i w:val="0"/>
                <w:color w:val="auto"/>
                <w:kern w:val="0"/>
                <w:sz w:val="20"/>
                <w:szCs w:val="20"/>
                <w:u w:val="none"/>
                <w:lang w:val="en-US" w:eastAsia="zh-CN" w:bidi="ar"/>
              </w:rPr>
              <w:t>年</w:t>
            </w:r>
            <w:r>
              <w:rPr>
                <w:rFonts w:hint="default" w:ascii="Times New Roman" w:hAnsi="Times New Roman" w:eastAsia="仿宋_GB2312" w:cs="Times New Roman"/>
                <w:b w:val="0"/>
                <w:bCs w:val="0"/>
                <w:i w:val="0"/>
                <w:color w:val="auto"/>
                <w:kern w:val="0"/>
                <w:sz w:val="20"/>
                <w:szCs w:val="20"/>
                <w:u w:val="none"/>
                <w:lang w:val="en-US" w:eastAsia="zh-CN" w:bidi="ar"/>
              </w:rPr>
              <w:t>”活动。</w:t>
            </w:r>
          </w:p>
        </w:tc>
        <w:tc>
          <w:tcPr>
            <w:tcW w:w="20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7月底前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93"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（20）完善党的领导融入公司治理的体制机制。</w:t>
            </w:r>
            <w:r>
              <w:rPr>
                <w:rFonts w:hint="default" w:ascii="Times New Roman" w:hAnsi="Times New Roman" w:eastAsia="仿宋_GB2312" w:cs="Times New Roman"/>
                <w:b w:val="0"/>
                <w:bCs w:val="0"/>
                <w:i w:val="0"/>
                <w:color w:val="auto"/>
                <w:kern w:val="0"/>
                <w:sz w:val="20"/>
                <w:szCs w:val="20"/>
                <w:u w:val="none"/>
                <w:lang w:val="en-US" w:eastAsia="zh-CN" w:bidi="ar"/>
              </w:rPr>
              <w:t>重点把握好“制度”融入，在落实“党建入章”基础上，进一步明确党组织在企业决策、执行、监督各环节的权责和工作方式，使党组织发挥领导作用组织化、制度化、具体化。把握好“干部”融入，进一步坚持和完善“双向进入、交叉任职”领导体制，使党组织的意图通过党员领导人员在企业中的职业身份来贯彻落实。把握好“程序”融入，认真落实党组织前置研究讨论重大事项程序，进一步厘清党组织和董事会、监事会、经理层等治理主体之间的权责边界，明确重大决策的要求、内容和主要程序，切实发挥党组织把方向、管大局、保落实的领导作用。</w:t>
            </w:r>
          </w:p>
        </w:tc>
        <w:tc>
          <w:tcPr>
            <w:tcW w:w="20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12月底前，长期坚持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color w:val="auto"/>
              </w:rPr>
            </w:pPr>
            <w:r>
              <w:rPr>
                <w:rFonts w:hint="default" w:ascii="Times New Roman" w:hAnsi="Times New Roman" w:eastAsia="楷体_GB2312" w:cs="Times New Roman"/>
                <w:b w:val="0"/>
                <w:bCs w:val="0"/>
                <w:i w:val="0"/>
                <w:color w:val="auto"/>
                <w:kern w:val="0"/>
                <w:sz w:val="20"/>
                <w:szCs w:val="20"/>
                <w:u w:val="none"/>
                <w:lang w:val="en-US" w:eastAsia="zh-CN" w:bidi="ar"/>
              </w:rPr>
              <w:t>10.持续夯实基层基础。</w:t>
            </w: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pStyle w:val="2"/>
              <w:widowControl w:val="0"/>
              <w:numPr>
                <w:ilvl w:val="0"/>
                <w:numId w:val="0"/>
              </w:numPr>
              <w:jc w:val="both"/>
              <w:rPr>
                <w:rFonts w:hint="default" w:ascii="Times New Roman" w:hAnsi="Times New Roman" w:eastAsia="楷体_GB2312" w:cs="Times New Roman"/>
                <w:b w:val="0"/>
                <w:bCs w:val="0"/>
                <w:i w:val="0"/>
                <w:color w:val="auto"/>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（21）扩大“两个覆盖”。</w:t>
            </w:r>
            <w:r>
              <w:rPr>
                <w:rFonts w:hint="default" w:ascii="Times New Roman" w:hAnsi="Times New Roman" w:eastAsia="仿宋_GB2312" w:cs="Times New Roman"/>
                <w:b w:val="0"/>
                <w:bCs w:val="0"/>
                <w:i w:val="0"/>
                <w:color w:val="auto"/>
                <w:kern w:val="0"/>
                <w:sz w:val="20"/>
                <w:szCs w:val="20"/>
                <w:u w:val="none"/>
                <w:lang w:val="en-US" w:eastAsia="zh-CN" w:bidi="ar"/>
              </w:rPr>
              <w:t>在有形覆盖的基础上推进有效覆盖，既聚焦组织覆盖空白点、解决“有没有”的问题，又找准作用发挥薄弱点、解决“强不强”的问题。根据企业产权关系、组织结构、用工方式等情况，结合实际创新党组织设置形式，做到应建尽建、能建必建。深入实施基层党建质量提升三年行动计划巩固年行动，大力推进党支部标准化规范化建设，持续整顿软弱涣散基层党组织，确保年内所有国有企业党支部达标。深入推进党建示范点建设和党建品牌创建，落实国有企业领导人员联系点制度。</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12月底前，长期坚持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3"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（22）增强“两个功能”。</w:t>
            </w:r>
            <w:r>
              <w:rPr>
                <w:rFonts w:hint="default" w:ascii="Times New Roman" w:hAnsi="Times New Roman" w:eastAsia="仿宋_GB2312" w:cs="Times New Roman"/>
                <w:b w:val="0"/>
                <w:bCs w:val="0"/>
                <w:i w:val="0"/>
                <w:color w:val="auto"/>
                <w:kern w:val="0"/>
                <w:sz w:val="20"/>
                <w:szCs w:val="20"/>
                <w:u w:val="none"/>
                <w:lang w:val="en-US" w:eastAsia="zh-CN" w:bidi="ar"/>
              </w:rPr>
              <w:t>切实增强国有企业基层党组织政治功能和组织功能，积极适应新发展阶段的形势任务，融入三大战略行动、“四化”建设等重大任务，找准创新驱动发展、优化布局结构、健全监管体制、防范化解风险的着力点，把党建工作融入企业主责主业，把生产经营的各项要求通过党支部落实到车间、班组、生产线，切实增强党建工作的实效性。</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12月底前，长期坚持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1"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（23）落实“两个保障”。</w:t>
            </w:r>
            <w:r>
              <w:rPr>
                <w:rFonts w:hint="default" w:ascii="Times New Roman" w:hAnsi="Times New Roman" w:eastAsia="仿宋_GB2312" w:cs="Times New Roman"/>
                <w:b w:val="0"/>
                <w:bCs w:val="0"/>
                <w:i w:val="0"/>
                <w:color w:val="auto"/>
                <w:kern w:val="0"/>
                <w:sz w:val="20"/>
                <w:szCs w:val="20"/>
                <w:u w:val="none"/>
                <w:lang w:val="en-US" w:eastAsia="zh-CN" w:bidi="ar"/>
              </w:rPr>
              <w:t>落实好机构保障和待遇保障，按照精干高效协调的原则，健全、规范党建工作机构设置，推进人事管理和党建工作一个部门抓，分属两个部门的由一个领导管。抓好基层党组织书记、党务工作者和党员职工“三支队伍”建设，充实、配强党务工作力量，选优配强党支部书记，把党支部书记岗位作为培养选拔企业领导人员的重要台阶，把党务工作岗位作为培养企业复合型人才的重要平台。严格落实同职级、同待遇政策，推动党务工作人员与其他经营管理人员双向交流，国企党委书记要落实好第一责任人责任，省国资委要逐一核实检查，对不符合要求的企业要督促整改落实到位。</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12月底前，长期坚持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85"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cs="Times New Roman"/>
                <w:color w:val="auto"/>
              </w:rPr>
            </w:pPr>
            <w:r>
              <w:rPr>
                <w:rFonts w:hint="default" w:ascii="Times New Roman" w:hAnsi="Times New Roman" w:eastAsia="楷体_GB2312" w:cs="Times New Roman"/>
                <w:b w:val="0"/>
                <w:bCs w:val="0"/>
                <w:i w:val="0"/>
                <w:color w:val="auto"/>
                <w:sz w:val="20"/>
                <w:szCs w:val="20"/>
                <w:u w:val="none"/>
                <w:lang w:val="en-US" w:eastAsia="zh-CN"/>
              </w:rPr>
              <w:t>11.</w:t>
            </w:r>
            <w:r>
              <w:rPr>
                <w:rFonts w:hint="default" w:ascii="Times New Roman" w:hAnsi="Times New Roman" w:eastAsia="楷体_GB2312" w:cs="Times New Roman"/>
                <w:b w:val="0"/>
                <w:bCs w:val="0"/>
                <w:i w:val="0"/>
                <w:color w:val="auto"/>
                <w:sz w:val="20"/>
                <w:szCs w:val="20"/>
                <w:u w:val="none"/>
              </w:rPr>
              <w:t>持续加强干部和人才队伍建设。</w:t>
            </w: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eastAsia="楷体_GB2312" w:cs="Times New Roman"/>
                <w:b w:val="0"/>
                <w:bCs w:val="0"/>
                <w:i w:val="0"/>
                <w:color w:val="auto"/>
                <w:sz w:val="20"/>
                <w:szCs w:val="20"/>
                <w:u w:val="none"/>
                <w:lang w:val="en-US" w:eastAsia="zh-CN"/>
              </w:rPr>
            </w:pPr>
          </w:p>
          <w:p>
            <w:pPr>
              <w:pStyle w:val="2"/>
              <w:numPr>
                <w:ilvl w:val="0"/>
                <w:numId w:val="0"/>
              </w:numPr>
              <w:ind w:leftChars="0"/>
              <w:rPr>
                <w:rFonts w:hint="default" w:ascii="Times New Roman" w:hAnsi="Times New Roman" w:cs="Times New Roman"/>
                <w:color w:val="auto"/>
              </w:rPr>
            </w:pPr>
            <w:r>
              <w:rPr>
                <w:rFonts w:hint="default" w:ascii="Times New Roman" w:hAnsi="Times New Roman" w:eastAsia="楷体_GB2312" w:cs="Times New Roman"/>
                <w:b w:val="0"/>
                <w:bCs w:val="0"/>
                <w:i w:val="0"/>
                <w:color w:val="auto"/>
                <w:sz w:val="20"/>
                <w:szCs w:val="20"/>
                <w:u w:val="none"/>
                <w:lang w:val="en-US" w:eastAsia="zh-CN"/>
              </w:rPr>
              <w:t>11.</w:t>
            </w:r>
            <w:r>
              <w:rPr>
                <w:rFonts w:hint="default" w:ascii="Times New Roman" w:hAnsi="Times New Roman" w:eastAsia="楷体_GB2312" w:cs="Times New Roman"/>
                <w:b w:val="0"/>
                <w:bCs w:val="0"/>
                <w:i w:val="0"/>
                <w:color w:val="auto"/>
                <w:sz w:val="20"/>
                <w:szCs w:val="20"/>
                <w:u w:val="none"/>
              </w:rPr>
              <w:t>持续加强干部和人才队伍建设。</w:t>
            </w:r>
          </w:p>
        </w:tc>
        <w:tc>
          <w:tcPr>
            <w:tcW w:w="70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（24）培养造就一支国有企业家队伍。</w:t>
            </w:r>
            <w:r>
              <w:rPr>
                <w:rFonts w:hint="default" w:ascii="Times New Roman" w:hAnsi="Times New Roman" w:eastAsia="仿宋_GB2312" w:cs="Times New Roman"/>
                <w:b w:val="0"/>
                <w:bCs w:val="0"/>
                <w:i w:val="0"/>
                <w:color w:val="auto"/>
                <w:kern w:val="0"/>
                <w:sz w:val="20"/>
                <w:szCs w:val="20"/>
                <w:u w:val="none"/>
                <w:lang w:val="en-US" w:eastAsia="zh-CN" w:bidi="ar"/>
              </w:rPr>
              <w:t>按照国有企业领导人员“20字”标准，认真落实《贵州省省管企业领导人员管理办法》，结合企业高质量发展需要和专业需求，加快培养一批具有战略思维、世界眼光、全局观念的企业家，着力选拔政治立场坚定、专业素养过硬、堪当重任的高素质专业化国有企业领导人员，建设适应新型工业化的国有企业领导人员队伍，推动国有企业董事长及其他领导成员以合格企业家标准严格做好自身建设。抓紧补齐配强省管国有企业董事会、监事会成员。分级分层举办好企业领导人员培训班，强化政治思想教育和能力素质培训，加强政治历练、实践锻炼和基层锤炼，提高干部思想政治素质和经营管理水平。</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各级组织部门、国资监管机构，各国有企业党组织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6"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（25）培养选拔优秀年轻干部。</w:t>
            </w:r>
            <w:r>
              <w:rPr>
                <w:rFonts w:hint="default" w:ascii="Times New Roman" w:hAnsi="Times New Roman" w:eastAsia="仿宋_GB2312" w:cs="Times New Roman"/>
                <w:b w:val="0"/>
                <w:bCs w:val="0"/>
                <w:i w:val="0"/>
                <w:color w:val="auto"/>
                <w:kern w:val="0"/>
                <w:sz w:val="20"/>
                <w:szCs w:val="20"/>
                <w:u w:val="none"/>
                <w:lang w:val="en-US" w:eastAsia="zh-CN" w:bidi="ar"/>
              </w:rPr>
              <w:t>按照干部管理权限，对国企领导人员来源结构、专业结构、年龄结构进行梳理、分析、研判，建立领导人员退出机制，为培养选拔优秀年轻干部创造条件、搭建平台，经过2至3年的努力，省管企业领导人员、企业中层管理人员中，45岁、40岁、35岁、30岁左右的年轻干部分别达到一定数量和占比。加快完善年轻干部培养机制，建立“下管两级”制度，分层分类建立优秀年轻干部库，有针对性制定培养计划，落实培养措施，每年对优秀年轻干部进行综合评估，动态调整充实名单，为培养企业家储备人选。有计划地选拔一批经过实践锻炼的优秀年轻干部进入集团公司领导班子。对综合素质高、为企业做出重要贡献、年龄偏大的干部要合理使用，保留相关待遇。</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各级组织部门、国资监管机构，各国有企业党组织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57"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pStyle w:val="2"/>
              <w:rPr>
                <w:rFonts w:hint="default" w:ascii="Times New Roman" w:hAnsi="Times New Roman" w:cs="Times New Roman"/>
                <w:color w:val="auto"/>
              </w:rPr>
            </w:pPr>
          </w:p>
        </w:tc>
        <w:tc>
          <w:tcPr>
            <w:tcW w:w="185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（26）集聚推动企业改革发展的优秀人才。</w:t>
            </w:r>
            <w:r>
              <w:rPr>
                <w:rFonts w:hint="default" w:ascii="Times New Roman" w:hAnsi="Times New Roman" w:eastAsia="仿宋_GB2312" w:cs="Times New Roman"/>
                <w:b w:val="0"/>
                <w:bCs w:val="0"/>
                <w:i w:val="0"/>
                <w:color w:val="auto"/>
                <w:kern w:val="0"/>
                <w:sz w:val="20"/>
                <w:szCs w:val="20"/>
                <w:u w:val="none"/>
                <w:lang w:val="en-US" w:eastAsia="zh-CN" w:bidi="ar"/>
              </w:rPr>
              <w:t>国有企业党委要落实主体责任，摸清企业人才队伍基本情况及薄弱环节，结合实际制定人才发展规划；多方位拓宽人才引进渠道，从资金、项目等方面给予实实在在的支持，制定出台实施针对性和操作性强、有一定竞争力的配套措施，提高人才引进服务管理的质量和效益。省国资委要牵头组织开展国有企业人才专题调研，研究制定“十四五”时期国有企业人才发展规划，重点实施人才工作“四大工程”、“四大行动”；发挥督促指导作用，健全人才工作目标责任制，将人才工作落实情况纳入企业年度考核，对工作推动不力、考核结果靠后的，对企业党委主要领导进行约谈。</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各级组织部门、国资监管机构，各国有企业党组织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12月底前制定人才发展规划、纳入考核体系，长期坚持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7"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pStyle w:val="2"/>
              <w:rPr>
                <w:rFonts w:hint="default" w:ascii="Times New Roman" w:hAnsi="Times New Roman" w:cs="Times New Roman"/>
                <w:color w:val="auto"/>
              </w:rPr>
            </w:pPr>
          </w:p>
        </w:tc>
        <w:tc>
          <w:tcPr>
            <w:tcW w:w="185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（27）激励干部担当作为。</w:t>
            </w:r>
            <w:r>
              <w:rPr>
                <w:rFonts w:hint="default" w:ascii="Times New Roman" w:hAnsi="Times New Roman" w:eastAsia="仿宋_GB2312" w:cs="Times New Roman"/>
                <w:b w:val="0"/>
                <w:bCs w:val="0"/>
                <w:i w:val="0"/>
                <w:color w:val="auto"/>
                <w:kern w:val="0"/>
                <w:sz w:val="20"/>
                <w:szCs w:val="20"/>
                <w:u w:val="none"/>
                <w:lang w:val="en-US" w:eastAsia="zh-CN" w:bidi="ar"/>
              </w:rPr>
              <w:t>深入贯彻落实《党政领导干部考核工作条例》《中组部关于推动高质量发展的政绩考核的通知》，进一步完善国有企业领导班子及中层干部考核评价、激励约束机制，充分发挥干部考核区分优劣、奖优罚劣、激励担当、促进发展的指挥棒、风向标作用。根据企业经营战略，鼓励干部参加职业（执业）资格考试和技能竞赛，取得企业生产经营发展需要的注册会计师、建造师、律师等职业（执业）资格。加大政治上激励、工作上支持、待遇上保障、心理上关怀力度，推动各项待遇保障措施的落实，认真落实“三个区分开来”要求，鼓励干部敢闯敢试、敢为人先，增强担当作为的主动性自觉性。</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各级组织部门、国资监管机构，各国有企业党组织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0"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r>
              <w:rPr>
                <w:rFonts w:hint="default" w:ascii="Times New Roman" w:hAnsi="Times New Roman" w:eastAsia="仿宋_GB2312" w:cs="Times New Roman"/>
                <w:b w:val="0"/>
                <w:bCs w:val="0"/>
                <w:i w:val="0"/>
                <w:color w:val="auto"/>
                <w:sz w:val="20"/>
                <w:szCs w:val="20"/>
                <w:u w:val="none"/>
                <w:lang w:val="en-US" w:eastAsia="zh-CN"/>
              </w:rPr>
              <w:t>12.</w:t>
            </w:r>
            <w:r>
              <w:rPr>
                <w:rFonts w:hint="default" w:ascii="Times New Roman" w:hAnsi="Times New Roman" w:eastAsia="仿宋_GB2312" w:cs="Times New Roman"/>
                <w:b w:val="0"/>
                <w:bCs w:val="0"/>
                <w:i w:val="0"/>
                <w:color w:val="auto"/>
                <w:sz w:val="20"/>
                <w:szCs w:val="20"/>
                <w:u w:val="none"/>
              </w:rPr>
              <w:t>持续推进全面从严治党。</w:t>
            </w:r>
          </w:p>
        </w:tc>
        <w:tc>
          <w:tcPr>
            <w:tcW w:w="7086"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（28）常态长效开展党风廉政教育、全面加强作风建设、巩固巡视整改成果。</w:t>
            </w:r>
            <w:r>
              <w:rPr>
                <w:rFonts w:hint="default" w:ascii="Times New Roman" w:hAnsi="Times New Roman" w:eastAsia="仿宋_GB2312" w:cs="Times New Roman"/>
                <w:b w:val="0"/>
                <w:bCs w:val="0"/>
                <w:i w:val="0"/>
                <w:color w:val="auto"/>
                <w:kern w:val="0"/>
                <w:sz w:val="20"/>
                <w:szCs w:val="20"/>
                <w:u w:val="none"/>
                <w:lang w:val="en-US" w:eastAsia="zh-CN" w:bidi="ar"/>
              </w:rPr>
              <w:t>建立党风廉政培训教育制度机制，开展警示教育，持续巩固领导干部利用茅台酒谋取私利专项整治成果，充分发挥茅台警示教育基地的作用，提高拒腐防变的定力和能力。巩固深化“不忘初心、牢记使命”主题教育成果，大力弘扬求真务实、真抓实干的优良作风，落实中央八项规定精神，持续纠治“四风”特别是形式主义、官僚主义。开展国企“去机关化”专项整治，破解总部行政化突出、市场化不足问题。企业领导人员要主动深入基层、沉到一线，解决实际问题，每年在基层一线、工作一线的时间不能少于半年。国有企业党委要切实履行巡视整改主体责任，企业党委书记履行第一责任，班子成员严格落实“一岗双责”，企业基层党组织和党员干部要上下协同形成整改合力，确保巡视整改工作不留盲区、不留死角。省国资委要加强调度，确保整改全部到位。</w:t>
            </w:r>
          </w:p>
        </w:tc>
        <w:tc>
          <w:tcPr>
            <w:tcW w:w="20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省国资委党委，各国有企业党组织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7"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pStyle w:val="2"/>
              <w:widowControl w:val="0"/>
              <w:numPr>
                <w:ilvl w:val="0"/>
                <w:numId w:val="0"/>
              </w:numPr>
              <w:jc w:val="both"/>
              <w:rPr>
                <w:rFonts w:hint="default" w:ascii="Times New Roman" w:hAnsi="Times New Roman" w:cs="Times New Roman"/>
                <w:color w:val="auto"/>
              </w:rPr>
            </w:pPr>
            <w:r>
              <w:rPr>
                <w:rFonts w:hint="default" w:ascii="Times New Roman" w:hAnsi="Times New Roman" w:eastAsia="仿宋_GB2312" w:cs="Times New Roman"/>
                <w:b w:val="0"/>
                <w:bCs w:val="0"/>
                <w:i w:val="0"/>
                <w:color w:val="auto"/>
                <w:sz w:val="20"/>
                <w:szCs w:val="20"/>
                <w:u w:val="none"/>
                <w:lang w:val="en-US" w:eastAsia="zh-CN"/>
              </w:rPr>
              <w:t>13.</w:t>
            </w:r>
            <w:r>
              <w:rPr>
                <w:rFonts w:hint="default" w:ascii="Times New Roman" w:hAnsi="Times New Roman" w:eastAsia="仿宋_GB2312" w:cs="Times New Roman"/>
                <w:b w:val="0"/>
                <w:bCs w:val="0"/>
                <w:i w:val="0"/>
                <w:color w:val="auto"/>
                <w:sz w:val="20"/>
                <w:szCs w:val="20"/>
                <w:u w:val="none"/>
              </w:rPr>
              <w:t>持续压紧压实政治责任。</w:t>
            </w:r>
          </w:p>
          <w:p>
            <w:pPr>
              <w:pStyle w:val="2"/>
              <w:widowControl w:val="0"/>
              <w:numPr>
                <w:ilvl w:val="0"/>
                <w:numId w:val="0"/>
              </w:numPr>
              <w:jc w:val="both"/>
              <w:rPr>
                <w:rFonts w:hint="default" w:ascii="Times New Roman" w:hAnsi="Times New Roman" w:cs="Times New Roman"/>
                <w:color w:val="auto"/>
              </w:rPr>
            </w:pPr>
          </w:p>
        </w:tc>
        <w:tc>
          <w:tcPr>
            <w:tcW w:w="708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（29）强化各级责任落实。</w:t>
            </w:r>
            <w:r>
              <w:rPr>
                <w:rFonts w:hint="default" w:ascii="Times New Roman" w:hAnsi="Times New Roman" w:eastAsia="仿宋_GB2312" w:cs="Times New Roman"/>
                <w:b w:val="0"/>
                <w:bCs w:val="0"/>
                <w:i w:val="0"/>
                <w:color w:val="auto"/>
                <w:kern w:val="0"/>
                <w:sz w:val="20"/>
                <w:szCs w:val="20"/>
                <w:u w:val="none"/>
                <w:lang w:val="en-US" w:eastAsia="zh-CN" w:bidi="ar"/>
              </w:rPr>
              <w:t>省国资委党委要进一步提高站位、精准定位、有效履职，以高质量党建推动国有企业高质量发展，促进国有资本保值增值；省委国企党建工作领导小组成员单位要各司其职、各负其责，进一步提升抓党建促国有企业高质量发展的能力和水平，加强行业管理，强化协调联动，推动党建与业务互促共进；市（州）国企党建工作领导机构要切实负起责任，加强沟通协调，按照省委国企党建工作领导小组要求，立足本地实际，主动研究谋划和安排部署2021年抓党建促国有企业高质量发展工作。</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省国资委党委，省委国企党建工作领导小组成员单位，市（州）国企党建工作领导机构</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全年推进，长期坚持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1" w:hRule="atLeast"/>
          <w:jc w:val="center"/>
        </w:trPr>
        <w:tc>
          <w:tcPr>
            <w:tcW w:w="1380"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rPr>
                <w:rFonts w:hint="default" w:ascii="Times New Roman" w:hAnsi="Times New Roman" w:eastAsia="仿宋_GB2312" w:cs="Times New Roman"/>
                <w:i w:val="0"/>
                <w:color w:val="auto"/>
                <w:sz w:val="20"/>
                <w:szCs w:val="20"/>
                <w:u w:val="none"/>
              </w:rPr>
            </w:pPr>
          </w:p>
        </w:tc>
        <w:tc>
          <w:tcPr>
            <w:tcW w:w="1857"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sz w:val="20"/>
                <w:szCs w:val="20"/>
                <w:u w:val="none"/>
              </w:rPr>
            </w:pPr>
          </w:p>
        </w:tc>
        <w:tc>
          <w:tcPr>
            <w:tcW w:w="70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bCs/>
                <w:i w:val="0"/>
                <w:color w:val="auto"/>
                <w:kern w:val="0"/>
                <w:sz w:val="20"/>
                <w:szCs w:val="20"/>
                <w:u w:val="none"/>
                <w:lang w:val="en-US" w:eastAsia="zh-CN" w:bidi="ar"/>
              </w:rPr>
              <w:t>（30）做好一季度有关工作。</w:t>
            </w:r>
            <w:r>
              <w:rPr>
                <w:rFonts w:hint="default" w:ascii="Times New Roman" w:hAnsi="Times New Roman" w:eastAsia="仿宋_GB2312" w:cs="Times New Roman"/>
                <w:b w:val="0"/>
                <w:bCs w:val="0"/>
                <w:i w:val="0"/>
                <w:color w:val="auto"/>
                <w:kern w:val="0"/>
                <w:sz w:val="20"/>
                <w:szCs w:val="20"/>
                <w:u w:val="none"/>
                <w:lang w:val="en-US" w:eastAsia="zh-CN" w:bidi="ar"/>
              </w:rPr>
              <w:t>对标对表中央政治局和省委常委会民主生活会，高质量开好国有企业党委班子民主生活会、基层党组织组织生活会，抓好民主评议党员工作；统筹做好岁末年初安全生产、“两节”走访慰问、疫情防控等工作。</w:t>
            </w:r>
          </w:p>
        </w:tc>
        <w:tc>
          <w:tcPr>
            <w:tcW w:w="2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各级组织部门、国资监管机构，各国有企业党组织</w:t>
            </w:r>
          </w:p>
        </w:tc>
        <w:tc>
          <w:tcPr>
            <w:tcW w:w="1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_GB2312" w:cs="Times New Roman"/>
                <w:b w:val="0"/>
                <w:bCs w:val="0"/>
                <w:i w:val="0"/>
                <w:color w:val="auto"/>
                <w:kern w:val="0"/>
                <w:sz w:val="20"/>
                <w:szCs w:val="20"/>
                <w:u w:val="none"/>
                <w:lang w:val="en-US" w:eastAsia="zh-CN" w:bidi="ar"/>
              </w:rPr>
            </w:pPr>
            <w:r>
              <w:rPr>
                <w:rFonts w:hint="default" w:ascii="Times New Roman" w:hAnsi="Times New Roman" w:eastAsia="仿宋_GB2312" w:cs="Times New Roman"/>
                <w:b w:val="0"/>
                <w:bCs w:val="0"/>
                <w:i w:val="0"/>
                <w:color w:val="auto"/>
                <w:kern w:val="0"/>
                <w:sz w:val="20"/>
                <w:szCs w:val="20"/>
                <w:u w:val="none"/>
                <w:lang w:val="en-US" w:eastAsia="zh-CN" w:bidi="ar"/>
              </w:rPr>
              <w:t>根据省委、省政府要求的时限完成</w:t>
            </w:r>
          </w:p>
        </w:tc>
      </w:tr>
    </w:tbl>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sectPr>
          <w:footerReference r:id="rId6" w:type="default"/>
          <w:footerReference r:id="rId7" w:type="even"/>
          <w:pgSz w:w="16838" w:h="11906" w:orient="landscape"/>
          <w:pgMar w:top="1587" w:right="2098" w:bottom="1474" w:left="1984" w:header="851" w:footer="992" w:gutter="0"/>
          <w:pgNumType w:fmt="numberInDash"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napToGrid w:val="0"/>
          <w:spacing w:val="-16"/>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198" w:firstLineChars="80"/>
        <w:textAlignment w:val="auto"/>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pacing w:val="-16"/>
          <w:sz w:val="28"/>
          <w:szCs w:val="28"/>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42545</wp:posOffset>
                </wp:positionV>
                <wp:extent cx="572135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21350" cy="635"/>
                        </a:xfrm>
                        <a:prstGeom prst="line">
                          <a:avLst/>
                        </a:prstGeom>
                        <a:ln w="15875" cap="flat" cmpd="sng">
                          <a:solidFill>
                            <a:srgbClr val="000001"/>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pt;margin-top:3.35pt;height:0.05pt;width:450.5pt;z-index:251667456;mso-width-relative:page;mso-height-relative:page;" filled="f" stroked="t" coordsize="21600,21600" o:gfxdata="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y7PHUAAAABQEAAA8A&#10;AAAAAAAAAQAgAAAAIgAAAGRycy9kb3ducmV2LnhtbFBLAQIUABQAAAAIAIdO4kCvd1PG4gEAAKMD&#10;AAAOAAAAAAAAAAEAIAAAACMBAABkcnMvZTJvRG9jLnhtbFBLBQYAAAAABgAGAFkBAAB3BQAAAAA=&#10;">
                <v:fill on="f" focussize="0,0"/>
                <v:stroke weight="1.25pt" color="#000001" joinstyle="miter"/>
                <v:imagedata o:title=""/>
                <o:lock v:ext="edit" aspectratio="f"/>
              </v:line>
            </w:pict>
          </mc:Fallback>
        </mc:AlternateContent>
      </w:r>
      <w:r>
        <w:rPr>
          <w:rFonts w:hint="default" w:ascii="Times New Roman" w:hAnsi="Times New Roman" w:eastAsia="仿宋_GB2312" w:cs="Times New Roman"/>
          <w:snapToGrid w:val="0"/>
          <w:spacing w:val="-16"/>
          <w:kern w:val="0"/>
          <w:sz w:val="28"/>
          <w:szCs w:val="28"/>
        </w:rPr>
        <w:t>中共贵州省委国有企业党的建设工作领导小组办公室</w:t>
      </w:r>
      <w:r>
        <w:rPr>
          <w:rFonts w:hint="default" w:ascii="Times New Roman" w:hAnsi="Times New Roman" w:eastAsia="仿宋_GB2312" w:cs="Times New Roman"/>
          <w:snapToGrid w:val="0"/>
          <w:spacing w:val="-16"/>
          <w:kern w:val="0"/>
          <w:sz w:val="28"/>
          <w:szCs w:val="28"/>
          <w:lang w:val="en-US" w:eastAsia="zh-CN"/>
        </w:rPr>
        <w:t xml:space="preserve">    </w:t>
      </w:r>
      <w:r>
        <w:rPr>
          <w:rFonts w:hint="default" w:ascii="Times New Roman" w:hAnsi="Times New Roman" w:eastAsia="仿宋_GB2312" w:cs="Times New Roman"/>
          <w:snapToGrid w:val="0"/>
          <w:spacing w:val="-10"/>
          <w:kern w:val="0"/>
          <w:sz w:val="28"/>
          <w:szCs w:val="28"/>
        </w:rPr>
        <w:t>20</w:t>
      </w:r>
      <w:r>
        <w:rPr>
          <w:rFonts w:hint="default" w:ascii="Times New Roman" w:hAnsi="Times New Roman" w:eastAsia="仿宋_GB2312" w:cs="Times New Roman"/>
          <w:snapToGrid w:val="0"/>
          <w:spacing w:val="-10"/>
          <w:kern w:val="0"/>
          <w:sz w:val="28"/>
          <w:szCs w:val="28"/>
          <w:lang w:val="en-US" w:eastAsia="zh-CN"/>
        </w:rPr>
        <w:t>2</w:t>
      </w:r>
      <w:r>
        <w:rPr>
          <w:rFonts w:hint="eastAsia" w:ascii="Times New Roman" w:hAnsi="Times New Roman" w:eastAsia="仿宋_GB2312" w:cs="Times New Roman"/>
          <w:snapToGrid w:val="0"/>
          <w:spacing w:val="-10"/>
          <w:kern w:val="0"/>
          <w:sz w:val="28"/>
          <w:szCs w:val="28"/>
          <w:lang w:val="en-US" w:eastAsia="zh-CN"/>
        </w:rPr>
        <w:t>1</w:t>
      </w:r>
      <w:r>
        <w:rPr>
          <w:rFonts w:hint="default" w:ascii="Times New Roman" w:hAnsi="Times New Roman" w:eastAsia="仿宋_GB2312" w:cs="Times New Roman"/>
          <w:snapToGrid w:val="0"/>
          <w:spacing w:val="-10"/>
          <w:kern w:val="0"/>
          <w:sz w:val="28"/>
          <w:szCs w:val="28"/>
        </w:rPr>
        <w:t>年</w:t>
      </w:r>
      <w:r>
        <w:rPr>
          <w:rFonts w:hint="eastAsia" w:ascii="Times New Roman" w:hAnsi="Times New Roman" w:eastAsia="仿宋_GB2312" w:cs="Times New Roman"/>
          <w:snapToGrid w:val="0"/>
          <w:spacing w:val="-10"/>
          <w:kern w:val="0"/>
          <w:sz w:val="28"/>
          <w:szCs w:val="28"/>
          <w:lang w:val="en-US" w:eastAsia="zh-CN"/>
        </w:rPr>
        <w:t>1</w:t>
      </w:r>
      <w:r>
        <w:rPr>
          <w:rFonts w:hint="default" w:ascii="Times New Roman" w:hAnsi="Times New Roman" w:eastAsia="仿宋_GB2312" w:cs="Times New Roman"/>
          <w:snapToGrid w:val="0"/>
          <w:spacing w:val="-10"/>
          <w:kern w:val="0"/>
          <w:sz w:val="28"/>
          <w:szCs w:val="28"/>
        </w:rPr>
        <w:t>月</w:t>
      </w:r>
      <w:r>
        <w:rPr>
          <w:rFonts w:hint="eastAsia" w:ascii="Times New Roman" w:hAnsi="Times New Roman" w:eastAsia="仿宋_GB2312" w:cs="Times New Roman"/>
          <w:snapToGrid w:val="0"/>
          <w:spacing w:val="-10"/>
          <w:kern w:val="0"/>
          <w:sz w:val="28"/>
          <w:szCs w:val="28"/>
          <w:lang w:val="en-US" w:eastAsia="zh-CN"/>
        </w:rPr>
        <w:t>27</w:t>
      </w:r>
      <w:r>
        <w:rPr>
          <w:rFonts w:hint="default" w:ascii="Times New Roman" w:hAnsi="Times New Roman" w:eastAsia="仿宋_GB2312" w:cs="Times New Roman"/>
          <w:snapToGrid w:val="0"/>
          <w:color w:val="000000"/>
          <w:spacing w:val="-10"/>
          <w:kern w:val="0"/>
          <w:sz w:val="28"/>
          <w:szCs w:val="28"/>
        </w:rPr>
        <w:t>日印</w:t>
      </w:r>
      <w:r>
        <w:rPr>
          <w:rFonts w:hint="default" w:ascii="Times New Roman" w:hAnsi="Times New Roman" w:eastAsia="仿宋_GB2312" w:cs="Times New Roman"/>
          <w:snapToGrid w:val="0"/>
          <w:spacing w:val="-10"/>
          <w:kern w:val="0"/>
          <w:sz w:val="28"/>
          <w:szCs w:val="28"/>
        </w:rPr>
        <w:t>发</w:t>
      </w:r>
    </w:p>
    <w:p>
      <w:pPr>
        <w:bidi w:val="0"/>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pacing w:val="-16"/>
          <w:sz w:val="28"/>
          <w:szCs w:val="28"/>
        </w:rPr>
        <mc:AlternateContent>
          <mc:Choice Requires="wps">
            <w:drawing>
              <wp:anchor distT="0" distB="0" distL="114300" distR="114300" simplePos="0" relativeHeight="251678720" behindDoc="0" locked="0" layoutInCell="1" allowOverlap="1">
                <wp:simplePos x="0" y="0"/>
                <wp:positionH relativeFrom="column">
                  <wp:posOffset>13970</wp:posOffset>
                </wp:positionH>
                <wp:positionV relativeFrom="paragraph">
                  <wp:posOffset>42545</wp:posOffset>
                </wp:positionV>
                <wp:extent cx="57213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21350" cy="635"/>
                        </a:xfrm>
                        <a:prstGeom prst="line">
                          <a:avLst/>
                        </a:prstGeom>
                        <a:ln w="15875" cap="flat" cmpd="sng">
                          <a:solidFill>
                            <a:srgbClr val="000001"/>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pt;margin-top:3.35pt;height:0.05pt;width:450.5pt;z-index:251678720;mso-width-relative:page;mso-height-relative:page;" filled="f" stroked="t" coordsize="21600,21600" o:gfxdata="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y7PHUAAAABQEAAA8A&#10;AAAAAAAAAQAgAAAAIgAAAGRycy9kb3ducmV2LnhtbFBLAQIUABQAAAAIAIdO4kCFbhlm4gEAAKMD&#10;AAAOAAAAAAAAAAEAIAAAACMBAABkcnMvZTJvRG9jLnhtbFBLBQYAAAAABgAGAFkBAAB3BQAAAAA=&#10;">
                <v:fill on="f" focussize="0,0"/>
                <v:stroke weight="1.25pt" color="#000001" joinstyle="miter"/>
                <v:imagedata o:title=""/>
                <o:lock v:ext="edit" aspectratio="f"/>
              </v:line>
            </w:pict>
          </mc:Fallback>
        </mc:AlternateContent>
      </w:r>
      <w:r>
        <w:rPr>
          <w:rFonts w:hint="default" w:ascii="Times New Roman" w:hAnsi="Times New Roman" w:eastAsia="仿宋_GB2312" w:cs="Times New Roman"/>
          <w:snapToGrid w:val="0"/>
          <w:kern w:val="0"/>
          <w:sz w:val="24"/>
        </w:rPr>
        <w:t xml:space="preserve">                                                   </w:t>
      </w:r>
      <w:r>
        <w:rPr>
          <w:rFonts w:hint="default" w:ascii="Times New Roman" w:hAnsi="Times New Roman" w:eastAsia="仿宋_GB2312" w:cs="Times New Roman"/>
          <w:snapToGrid w:val="0"/>
          <w:kern w:val="0"/>
          <w:sz w:val="24"/>
          <w:lang w:val="en-US" w:eastAsia="zh-CN"/>
        </w:rPr>
        <w:t xml:space="preserve">    </w:t>
      </w:r>
      <w:r>
        <w:rPr>
          <w:rFonts w:hint="default" w:ascii="Times New Roman" w:hAnsi="Times New Roman" w:eastAsia="仿宋_GB2312" w:cs="Times New Roman"/>
          <w:snapToGrid w:val="0"/>
          <w:kern w:val="0"/>
          <w:sz w:val="24"/>
        </w:rPr>
        <w:t xml:space="preserve">     </w:t>
      </w:r>
      <w:r>
        <w:rPr>
          <w:rFonts w:hint="default" w:ascii="Times New Roman" w:hAnsi="Times New Roman" w:eastAsia="仿宋_GB2312" w:cs="Times New Roman"/>
          <w:snapToGrid w:val="0"/>
          <w:color w:val="000000"/>
          <w:kern w:val="0"/>
          <w:sz w:val="28"/>
          <w:szCs w:val="28"/>
        </w:rPr>
        <w:t>共印</w:t>
      </w:r>
      <w:r>
        <w:rPr>
          <w:rFonts w:hint="eastAsia" w:ascii="Times New Roman" w:hAnsi="Times New Roman" w:eastAsia="仿宋_GB2312" w:cs="Times New Roman"/>
          <w:snapToGrid w:val="0"/>
          <w:color w:val="000000"/>
          <w:kern w:val="0"/>
          <w:sz w:val="28"/>
          <w:szCs w:val="28"/>
          <w:lang w:val="en-US" w:eastAsia="zh-CN"/>
        </w:rPr>
        <w:t>50</w:t>
      </w:r>
      <w:r>
        <w:rPr>
          <w:rFonts w:hint="default" w:ascii="Times New Roman" w:hAnsi="Times New Roman" w:eastAsia="仿宋_GB2312" w:cs="Times New Roman"/>
          <w:snapToGrid w:val="0"/>
          <w:color w:val="000000"/>
          <w:kern w:val="0"/>
          <w:sz w:val="28"/>
          <w:szCs w:val="28"/>
        </w:rPr>
        <w:t>份</w:t>
      </w:r>
    </w:p>
    <w:sectPr>
      <w:footerReference r:id="rId8" w:type="default"/>
      <w:footerReference r:id="rId9" w:type="even"/>
      <w:pgSz w:w="11906" w:h="16838"/>
      <w:pgMar w:top="2098" w:right="1474" w:bottom="1984" w:left="1587" w:header="851" w:footer="992" w:gutter="0"/>
      <w:pgNumType w:fmt="numberInDash"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8240;mso-width-relative:page;mso-height-relative:page;" filled="f" stroked="f" coordsize="21600,21600" o:gfxdata="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BdnH0wAAAAYBAAAPAAAAAAAAAAEA&#10;IAAAACIAAABkcnMvZG93bnJldi54bWxQSwECFAAUAAAACACHTuJACjsqfhQCAAAVBAAADgAAAAAA&#10;AAABACAAAAAiAQAAZHJzL2Uyb0RvYy54bWxQSwUGAAAAAAYABgBZAQAAq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-123825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75pt;height:144pt;width:144pt;mso-position-horizontal:outside;mso-position-horizontal-relative:margin;mso-wrap-style:none;z-index:251659264;mso-width-relative:page;mso-height-relative:page;" filled="f" stroked="f" coordsize="21600,21600" o:gfxdata="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RtKNFPY0enH99PPh9OvbwQ6ANRaP4PfxsIzdO9MB+dB&#10;76GMc3eVU/HGRAR2QH28wCu6QHgMmk6m0xwmDtvwQP7sMdw6H94Lo0gUCuqwvwQrO6x96F0Hl1hN&#10;m1UjZdqh1KQt6NXrt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xt+41gAAAAgBAAAPAAAAAAAA&#10;AAEAIAAAACIAAABkcnMvZG93bnJldi54bWxQSwECFAAUAAAACACHTuJAB2hfnRQCAAAVBAAADgAA&#10;AAAAAAABACAAAAAlAQAAZHJzL2Uyb0RvYy54bWxQSwUGAAAAAAYABgBZAQAAq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0288;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5ByOLVAAAABwEAAA8AAAAAAAAA&#10;AQAgAAAAIgAAAGRycy9kb3ducmV2LnhtbFBLAQIUABQAAAAIAIdO4kBFwMhyFAIAABUEAAAOAAAA&#10;AAAAAAEAIAAAACQBAABkcnMvZTJvRG9jLnhtbFBLBQYAAAAABgAGAFkBAACq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-155575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25pt;height:144pt;width:144pt;mso-position-horizontal:outside;mso-position-horizontal-relative:margin;mso-wrap-style:none;z-index:251662336;mso-width-relative:page;mso-height-relative:page;" filled="f" stroked="f" coordsize="21600,21600" o:gfxdata="UEsDBAoAAAAAAIdO4kAAAAAAAAAAAAAAAAAEAAAAZHJzL1BLAwQUAAAACACHTuJANbtvON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u2841gAAAAgBAAAPAAAAAAAA&#10;AAEAIAAAACIAAABkcnMvZG93bnJldi54bWxQSwECFAAUAAAACACHTuJAwj4BmRQCAAAVBAAADgAA&#10;AAAAAAABACAAAAAlAQAAZHJzL2Uyb0RvYy54bWxQSwUGAAAAAAYABgBZAQAAq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5408;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5ByOLVAAAABwEAAA8AAAAAAAAA&#10;AQAgAAAAIgAAAGRycy9kb3ducmV2LnhtbFBLAQIUABQAAAAIAIdO4kDbNg1rFAIAABUEAAAOAAAA&#10;AAAAAAEAIAAAACQBAABkcnMvZTJvRG9jLnhtbFBLBQYAAAAABgAGAFkBAACq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posOffset>412750</wp:posOffset>
              </wp:positionH>
              <wp:positionV relativeFrom="paragraph">
                <wp:posOffset>-494030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5pt;margin-top:-38.9pt;height:144pt;width:144pt;mso-position-horizontal-relative:margin;mso-wrap-style:none;z-index:251670528;mso-width-relative:page;mso-height-relative:page;" filled="f" stroked="f" coordsize="21600,21600" o:gfxdata="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gRcT1wAAAAoBAAAPAAAA&#10;AAAAAAEAIAAAACIAAABkcnMvZG93bnJldi54bWxQSwECFAAUAAAACACHTuJA8BrU5hYCAAAVBAAA&#10;DgAAAAAAAAABACAAAAAmAQAAZHJzL2Uyb0RvYy54bWxQSwUGAAAAAAYABgBZAQAArg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41AB1"/>
    <w:rsid w:val="0000266C"/>
    <w:rsid w:val="00012D39"/>
    <w:rsid w:val="00025F35"/>
    <w:rsid w:val="00025FBD"/>
    <w:rsid w:val="00037627"/>
    <w:rsid w:val="0004288B"/>
    <w:rsid w:val="00043E7C"/>
    <w:rsid w:val="00053786"/>
    <w:rsid w:val="0006776A"/>
    <w:rsid w:val="00067E22"/>
    <w:rsid w:val="00073FCF"/>
    <w:rsid w:val="000907ED"/>
    <w:rsid w:val="00093E39"/>
    <w:rsid w:val="000A17FD"/>
    <w:rsid w:val="000A537D"/>
    <w:rsid w:val="000A57E0"/>
    <w:rsid w:val="000C37D2"/>
    <w:rsid w:val="000C6465"/>
    <w:rsid w:val="000E08AA"/>
    <w:rsid w:val="001016B8"/>
    <w:rsid w:val="00106BB7"/>
    <w:rsid w:val="00112D0C"/>
    <w:rsid w:val="00121AE8"/>
    <w:rsid w:val="00132B1E"/>
    <w:rsid w:val="001416F4"/>
    <w:rsid w:val="00141E87"/>
    <w:rsid w:val="001526A8"/>
    <w:rsid w:val="00155FDF"/>
    <w:rsid w:val="00180364"/>
    <w:rsid w:val="00192B3F"/>
    <w:rsid w:val="00193781"/>
    <w:rsid w:val="001963B0"/>
    <w:rsid w:val="00196B91"/>
    <w:rsid w:val="001B77BE"/>
    <w:rsid w:val="001C3E59"/>
    <w:rsid w:val="001D013D"/>
    <w:rsid w:val="001D11E4"/>
    <w:rsid w:val="001D49F2"/>
    <w:rsid w:val="001F0387"/>
    <w:rsid w:val="001F1ACD"/>
    <w:rsid w:val="001F6B84"/>
    <w:rsid w:val="002073C2"/>
    <w:rsid w:val="002159E3"/>
    <w:rsid w:val="002239C9"/>
    <w:rsid w:val="002278EE"/>
    <w:rsid w:val="00227ADA"/>
    <w:rsid w:val="00231D5C"/>
    <w:rsid w:val="00234E25"/>
    <w:rsid w:val="00244E94"/>
    <w:rsid w:val="00246C58"/>
    <w:rsid w:val="0025156F"/>
    <w:rsid w:val="002568C6"/>
    <w:rsid w:val="00260D2E"/>
    <w:rsid w:val="00262505"/>
    <w:rsid w:val="00262E17"/>
    <w:rsid w:val="0026609C"/>
    <w:rsid w:val="002735AA"/>
    <w:rsid w:val="00282263"/>
    <w:rsid w:val="002909C9"/>
    <w:rsid w:val="00292817"/>
    <w:rsid w:val="00296D71"/>
    <w:rsid w:val="002972E1"/>
    <w:rsid w:val="002A0DFE"/>
    <w:rsid w:val="002D011B"/>
    <w:rsid w:val="002D09C1"/>
    <w:rsid w:val="002D4E7B"/>
    <w:rsid w:val="002E03A3"/>
    <w:rsid w:val="002E18D1"/>
    <w:rsid w:val="002F1A51"/>
    <w:rsid w:val="002F2ACF"/>
    <w:rsid w:val="002F3E65"/>
    <w:rsid w:val="002F5F06"/>
    <w:rsid w:val="003015A9"/>
    <w:rsid w:val="00304F32"/>
    <w:rsid w:val="00314F25"/>
    <w:rsid w:val="003327BA"/>
    <w:rsid w:val="00346947"/>
    <w:rsid w:val="00355D80"/>
    <w:rsid w:val="00365683"/>
    <w:rsid w:val="0037609A"/>
    <w:rsid w:val="00376221"/>
    <w:rsid w:val="00377712"/>
    <w:rsid w:val="00380228"/>
    <w:rsid w:val="003817D8"/>
    <w:rsid w:val="00384C73"/>
    <w:rsid w:val="003A09D2"/>
    <w:rsid w:val="003B261E"/>
    <w:rsid w:val="003B78D1"/>
    <w:rsid w:val="003C2A2E"/>
    <w:rsid w:val="003C3C0A"/>
    <w:rsid w:val="003D497A"/>
    <w:rsid w:val="003D6A32"/>
    <w:rsid w:val="003E3DB2"/>
    <w:rsid w:val="003E772F"/>
    <w:rsid w:val="003F7A3D"/>
    <w:rsid w:val="00406515"/>
    <w:rsid w:val="004322B9"/>
    <w:rsid w:val="00444B63"/>
    <w:rsid w:val="00447A66"/>
    <w:rsid w:val="00457947"/>
    <w:rsid w:val="00457D2A"/>
    <w:rsid w:val="004603E8"/>
    <w:rsid w:val="00474E37"/>
    <w:rsid w:val="00490E7D"/>
    <w:rsid w:val="00493480"/>
    <w:rsid w:val="004954FB"/>
    <w:rsid w:val="00495D78"/>
    <w:rsid w:val="004A3D37"/>
    <w:rsid w:val="004A5E3D"/>
    <w:rsid w:val="004A645A"/>
    <w:rsid w:val="004C6DBD"/>
    <w:rsid w:val="004D0B59"/>
    <w:rsid w:val="004E5050"/>
    <w:rsid w:val="004E6B23"/>
    <w:rsid w:val="004F3A56"/>
    <w:rsid w:val="00501124"/>
    <w:rsid w:val="00502EA1"/>
    <w:rsid w:val="00506C4B"/>
    <w:rsid w:val="00510163"/>
    <w:rsid w:val="00527329"/>
    <w:rsid w:val="005312F0"/>
    <w:rsid w:val="00546F71"/>
    <w:rsid w:val="005517C1"/>
    <w:rsid w:val="005538A9"/>
    <w:rsid w:val="00561BB7"/>
    <w:rsid w:val="0056276A"/>
    <w:rsid w:val="005664E7"/>
    <w:rsid w:val="00572066"/>
    <w:rsid w:val="00574905"/>
    <w:rsid w:val="005769B6"/>
    <w:rsid w:val="00583B0D"/>
    <w:rsid w:val="00594B2A"/>
    <w:rsid w:val="005A30FF"/>
    <w:rsid w:val="005B2358"/>
    <w:rsid w:val="005B5660"/>
    <w:rsid w:val="005C4823"/>
    <w:rsid w:val="005F6B3F"/>
    <w:rsid w:val="006044E0"/>
    <w:rsid w:val="00611F0B"/>
    <w:rsid w:val="00625DE4"/>
    <w:rsid w:val="006421A9"/>
    <w:rsid w:val="00642900"/>
    <w:rsid w:val="0066044C"/>
    <w:rsid w:val="00676CB7"/>
    <w:rsid w:val="0069144E"/>
    <w:rsid w:val="00697DF2"/>
    <w:rsid w:val="006B66EF"/>
    <w:rsid w:val="006B6CCB"/>
    <w:rsid w:val="006B7F79"/>
    <w:rsid w:val="006D53D4"/>
    <w:rsid w:val="006E0654"/>
    <w:rsid w:val="006E75D7"/>
    <w:rsid w:val="006F3CAA"/>
    <w:rsid w:val="006F6CAE"/>
    <w:rsid w:val="00706D21"/>
    <w:rsid w:val="00720B3B"/>
    <w:rsid w:val="00721AAC"/>
    <w:rsid w:val="007242BE"/>
    <w:rsid w:val="00732A9C"/>
    <w:rsid w:val="00734EB9"/>
    <w:rsid w:val="007363C3"/>
    <w:rsid w:val="00740C3D"/>
    <w:rsid w:val="00746C70"/>
    <w:rsid w:val="007641A4"/>
    <w:rsid w:val="007744F8"/>
    <w:rsid w:val="00780C6E"/>
    <w:rsid w:val="00785F5F"/>
    <w:rsid w:val="007A62BB"/>
    <w:rsid w:val="007B2149"/>
    <w:rsid w:val="007B3476"/>
    <w:rsid w:val="007B54AA"/>
    <w:rsid w:val="007C163A"/>
    <w:rsid w:val="007E1FBB"/>
    <w:rsid w:val="007E32AE"/>
    <w:rsid w:val="007F0686"/>
    <w:rsid w:val="007F4B81"/>
    <w:rsid w:val="007F62D3"/>
    <w:rsid w:val="007F6DE0"/>
    <w:rsid w:val="007F79B4"/>
    <w:rsid w:val="00801D26"/>
    <w:rsid w:val="00812A95"/>
    <w:rsid w:val="008140AD"/>
    <w:rsid w:val="00820A22"/>
    <w:rsid w:val="00823142"/>
    <w:rsid w:val="008256ED"/>
    <w:rsid w:val="00833BFF"/>
    <w:rsid w:val="00841031"/>
    <w:rsid w:val="00843750"/>
    <w:rsid w:val="00856695"/>
    <w:rsid w:val="00861E42"/>
    <w:rsid w:val="0087135C"/>
    <w:rsid w:val="008738F6"/>
    <w:rsid w:val="008752B5"/>
    <w:rsid w:val="00875D3F"/>
    <w:rsid w:val="0088097A"/>
    <w:rsid w:val="00882D1D"/>
    <w:rsid w:val="00890F96"/>
    <w:rsid w:val="00891899"/>
    <w:rsid w:val="008946CE"/>
    <w:rsid w:val="00897F4B"/>
    <w:rsid w:val="008A5A4E"/>
    <w:rsid w:val="008B7A78"/>
    <w:rsid w:val="008C753B"/>
    <w:rsid w:val="008E565E"/>
    <w:rsid w:val="008F3A73"/>
    <w:rsid w:val="008F5B5D"/>
    <w:rsid w:val="008F6819"/>
    <w:rsid w:val="009029C5"/>
    <w:rsid w:val="00904631"/>
    <w:rsid w:val="00926B0E"/>
    <w:rsid w:val="0093404B"/>
    <w:rsid w:val="00940E01"/>
    <w:rsid w:val="00944B91"/>
    <w:rsid w:val="00946AF0"/>
    <w:rsid w:val="00951198"/>
    <w:rsid w:val="0095287D"/>
    <w:rsid w:val="009631DD"/>
    <w:rsid w:val="00975C75"/>
    <w:rsid w:val="00977FA8"/>
    <w:rsid w:val="00986393"/>
    <w:rsid w:val="00987966"/>
    <w:rsid w:val="00993444"/>
    <w:rsid w:val="0099455E"/>
    <w:rsid w:val="009A52F9"/>
    <w:rsid w:val="009A6AAC"/>
    <w:rsid w:val="009B132B"/>
    <w:rsid w:val="009B5677"/>
    <w:rsid w:val="009B7A81"/>
    <w:rsid w:val="009C5A43"/>
    <w:rsid w:val="009C783F"/>
    <w:rsid w:val="009D0769"/>
    <w:rsid w:val="009D5E6A"/>
    <w:rsid w:val="009D7BF3"/>
    <w:rsid w:val="009E0F94"/>
    <w:rsid w:val="009F4063"/>
    <w:rsid w:val="009F522F"/>
    <w:rsid w:val="009F6473"/>
    <w:rsid w:val="009F7513"/>
    <w:rsid w:val="009F7EBF"/>
    <w:rsid w:val="00A01EC7"/>
    <w:rsid w:val="00A13514"/>
    <w:rsid w:val="00A211D9"/>
    <w:rsid w:val="00A242E3"/>
    <w:rsid w:val="00A24623"/>
    <w:rsid w:val="00A25CF6"/>
    <w:rsid w:val="00A30C93"/>
    <w:rsid w:val="00A32207"/>
    <w:rsid w:val="00A34CA1"/>
    <w:rsid w:val="00A3593A"/>
    <w:rsid w:val="00A4525D"/>
    <w:rsid w:val="00A47D7B"/>
    <w:rsid w:val="00A70044"/>
    <w:rsid w:val="00A73A54"/>
    <w:rsid w:val="00A74B46"/>
    <w:rsid w:val="00A875C7"/>
    <w:rsid w:val="00A92406"/>
    <w:rsid w:val="00AA01ED"/>
    <w:rsid w:val="00AA15FE"/>
    <w:rsid w:val="00AA4B6A"/>
    <w:rsid w:val="00AA638A"/>
    <w:rsid w:val="00AB6FFD"/>
    <w:rsid w:val="00AC14F9"/>
    <w:rsid w:val="00AC415E"/>
    <w:rsid w:val="00AC58C4"/>
    <w:rsid w:val="00AC683D"/>
    <w:rsid w:val="00AF036E"/>
    <w:rsid w:val="00AF10F2"/>
    <w:rsid w:val="00AF3E01"/>
    <w:rsid w:val="00B50F23"/>
    <w:rsid w:val="00B716F1"/>
    <w:rsid w:val="00B74714"/>
    <w:rsid w:val="00B854EC"/>
    <w:rsid w:val="00B87DDC"/>
    <w:rsid w:val="00B94785"/>
    <w:rsid w:val="00BB1E18"/>
    <w:rsid w:val="00BC2E20"/>
    <w:rsid w:val="00BC4742"/>
    <w:rsid w:val="00BC5A45"/>
    <w:rsid w:val="00BD139E"/>
    <w:rsid w:val="00BE18CE"/>
    <w:rsid w:val="00BE5085"/>
    <w:rsid w:val="00BE676A"/>
    <w:rsid w:val="00C00121"/>
    <w:rsid w:val="00C02F01"/>
    <w:rsid w:val="00C23DCC"/>
    <w:rsid w:val="00C31584"/>
    <w:rsid w:val="00C46D07"/>
    <w:rsid w:val="00C473EF"/>
    <w:rsid w:val="00C541D2"/>
    <w:rsid w:val="00C64CB1"/>
    <w:rsid w:val="00C65178"/>
    <w:rsid w:val="00C7476B"/>
    <w:rsid w:val="00C963C8"/>
    <w:rsid w:val="00C96CE0"/>
    <w:rsid w:val="00C978E6"/>
    <w:rsid w:val="00CA25A7"/>
    <w:rsid w:val="00CA4BF9"/>
    <w:rsid w:val="00CC4872"/>
    <w:rsid w:val="00CD33C3"/>
    <w:rsid w:val="00CD72CA"/>
    <w:rsid w:val="00CE1376"/>
    <w:rsid w:val="00D15258"/>
    <w:rsid w:val="00D15512"/>
    <w:rsid w:val="00D43506"/>
    <w:rsid w:val="00D551A6"/>
    <w:rsid w:val="00D56605"/>
    <w:rsid w:val="00D60B99"/>
    <w:rsid w:val="00D76507"/>
    <w:rsid w:val="00D86787"/>
    <w:rsid w:val="00D94604"/>
    <w:rsid w:val="00DA3B70"/>
    <w:rsid w:val="00DA65A6"/>
    <w:rsid w:val="00DB6FEE"/>
    <w:rsid w:val="00DB7778"/>
    <w:rsid w:val="00DC1944"/>
    <w:rsid w:val="00DD0D5D"/>
    <w:rsid w:val="00DD65B0"/>
    <w:rsid w:val="00E00FEB"/>
    <w:rsid w:val="00E028F1"/>
    <w:rsid w:val="00E10167"/>
    <w:rsid w:val="00E10CCF"/>
    <w:rsid w:val="00E1270D"/>
    <w:rsid w:val="00E25F33"/>
    <w:rsid w:val="00E462E1"/>
    <w:rsid w:val="00E46EBB"/>
    <w:rsid w:val="00E517DE"/>
    <w:rsid w:val="00E5245C"/>
    <w:rsid w:val="00E52624"/>
    <w:rsid w:val="00E54433"/>
    <w:rsid w:val="00E578CD"/>
    <w:rsid w:val="00E60EC2"/>
    <w:rsid w:val="00E71012"/>
    <w:rsid w:val="00E755FD"/>
    <w:rsid w:val="00E81400"/>
    <w:rsid w:val="00E92C21"/>
    <w:rsid w:val="00E9483F"/>
    <w:rsid w:val="00EA2C1E"/>
    <w:rsid w:val="00EA328C"/>
    <w:rsid w:val="00EA6F15"/>
    <w:rsid w:val="00EA705A"/>
    <w:rsid w:val="00EB0458"/>
    <w:rsid w:val="00EB2730"/>
    <w:rsid w:val="00EC17EA"/>
    <w:rsid w:val="00EC72C7"/>
    <w:rsid w:val="00ED12E3"/>
    <w:rsid w:val="00ED375B"/>
    <w:rsid w:val="00EF0310"/>
    <w:rsid w:val="00EF1EAF"/>
    <w:rsid w:val="00EF6490"/>
    <w:rsid w:val="00EF6E39"/>
    <w:rsid w:val="00F016CA"/>
    <w:rsid w:val="00F023D3"/>
    <w:rsid w:val="00F10B92"/>
    <w:rsid w:val="00F24AE3"/>
    <w:rsid w:val="00F27A6F"/>
    <w:rsid w:val="00F312E2"/>
    <w:rsid w:val="00F3278F"/>
    <w:rsid w:val="00F415AB"/>
    <w:rsid w:val="00F42B6F"/>
    <w:rsid w:val="00F4436C"/>
    <w:rsid w:val="00F5562E"/>
    <w:rsid w:val="00F70623"/>
    <w:rsid w:val="00F7688F"/>
    <w:rsid w:val="00F76A54"/>
    <w:rsid w:val="00F81371"/>
    <w:rsid w:val="00F81CED"/>
    <w:rsid w:val="00F83974"/>
    <w:rsid w:val="00F9098B"/>
    <w:rsid w:val="00FB0CCD"/>
    <w:rsid w:val="00FC31B2"/>
    <w:rsid w:val="00FC38E2"/>
    <w:rsid w:val="00FC435B"/>
    <w:rsid w:val="00FC4AF3"/>
    <w:rsid w:val="00FC5572"/>
    <w:rsid w:val="00FC6C7D"/>
    <w:rsid w:val="00FD4A52"/>
    <w:rsid w:val="00FE306D"/>
    <w:rsid w:val="00FE5776"/>
    <w:rsid w:val="00FF0DF8"/>
    <w:rsid w:val="00FF0F59"/>
    <w:rsid w:val="00FF12C7"/>
    <w:rsid w:val="00FF13AB"/>
    <w:rsid w:val="03CA4AFF"/>
    <w:rsid w:val="03F27A75"/>
    <w:rsid w:val="052F03D1"/>
    <w:rsid w:val="054F0321"/>
    <w:rsid w:val="05867287"/>
    <w:rsid w:val="0771107D"/>
    <w:rsid w:val="089C230B"/>
    <w:rsid w:val="08AC08B2"/>
    <w:rsid w:val="0AF7129D"/>
    <w:rsid w:val="0C43413C"/>
    <w:rsid w:val="0C77746C"/>
    <w:rsid w:val="0C795787"/>
    <w:rsid w:val="0D290B1A"/>
    <w:rsid w:val="0E172F78"/>
    <w:rsid w:val="12BD32D3"/>
    <w:rsid w:val="156F2A84"/>
    <w:rsid w:val="15791515"/>
    <w:rsid w:val="171159A2"/>
    <w:rsid w:val="17B93EF1"/>
    <w:rsid w:val="18745871"/>
    <w:rsid w:val="19AF5226"/>
    <w:rsid w:val="19C316C8"/>
    <w:rsid w:val="1A876688"/>
    <w:rsid w:val="1AD46C4B"/>
    <w:rsid w:val="1BA872AD"/>
    <w:rsid w:val="1C1423F5"/>
    <w:rsid w:val="1E1936C8"/>
    <w:rsid w:val="1E381512"/>
    <w:rsid w:val="1F9F534D"/>
    <w:rsid w:val="2156097F"/>
    <w:rsid w:val="22296454"/>
    <w:rsid w:val="23116853"/>
    <w:rsid w:val="238F0F5F"/>
    <w:rsid w:val="242C64B8"/>
    <w:rsid w:val="26010782"/>
    <w:rsid w:val="28A15A10"/>
    <w:rsid w:val="28B10FB2"/>
    <w:rsid w:val="293D2661"/>
    <w:rsid w:val="2C6C78E7"/>
    <w:rsid w:val="2EA35610"/>
    <w:rsid w:val="2F297355"/>
    <w:rsid w:val="319C14C7"/>
    <w:rsid w:val="3475073F"/>
    <w:rsid w:val="370B2B67"/>
    <w:rsid w:val="384D6B7B"/>
    <w:rsid w:val="3A123501"/>
    <w:rsid w:val="3BDB1653"/>
    <w:rsid w:val="3CB27287"/>
    <w:rsid w:val="408A5F29"/>
    <w:rsid w:val="40A67D5F"/>
    <w:rsid w:val="43C407B9"/>
    <w:rsid w:val="448210DA"/>
    <w:rsid w:val="46281F46"/>
    <w:rsid w:val="466C679B"/>
    <w:rsid w:val="46F00C4F"/>
    <w:rsid w:val="47205433"/>
    <w:rsid w:val="472D4DCF"/>
    <w:rsid w:val="47800136"/>
    <w:rsid w:val="4BD15F3A"/>
    <w:rsid w:val="4BE4410C"/>
    <w:rsid w:val="4D9851CF"/>
    <w:rsid w:val="4DE3261E"/>
    <w:rsid w:val="4F68200E"/>
    <w:rsid w:val="500C5301"/>
    <w:rsid w:val="51922336"/>
    <w:rsid w:val="531E097F"/>
    <w:rsid w:val="53965DB7"/>
    <w:rsid w:val="55DA067A"/>
    <w:rsid w:val="58FF3283"/>
    <w:rsid w:val="59194C25"/>
    <w:rsid w:val="598C26DE"/>
    <w:rsid w:val="59E639D9"/>
    <w:rsid w:val="5A910B8D"/>
    <w:rsid w:val="5B000A25"/>
    <w:rsid w:val="5B5A6AB9"/>
    <w:rsid w:val="5F336864"/>
    <w:rsid w:val="5FA0210A"/>
    <w:rsid w:val="60A34FCB"/>
    <w:rsid w:val="61F84164"/>
    <w:rsid w:val="628C0E9D"/>
    <w:rsid w:val="62AA4F54"/>
    <w:rsid w:val="62B41AB1"/>
    <w:rsid w:val="64BE3122"/>
    <w:rsid w:val="655F67C9"/>
    <w:rsid w:val="656A43DF"/>
    <w:rsid w:val="66B76BE6"/>
    <w:rsid w:val="66EF07E9"/>
    <w:rsid w:val="67910076"/>
    <w:rsid w:val="6799561B"/>
    <w:rsid w:val="6A2D6875"/>
    <w:rsid w:val="6A314249"/>
    <w:rsid w:val="6A316DC9"/>
    <w:rsid w:val="6FD37F66"/>
    <w:rsid w:val="718959C3"/>
    <w:rsid w:val="72B07C08"/>
    <w:rsid w:val="74BF697E"/>
    <w:rsid w:val="75AF174D"/>
    <w:rsid w:val="75ED5254"/>
    <w:rsid w:val="76E655FA"/>
    <w:rsid w:val="772F7225"/>
    <w:rsid w:val="77C55DC8"/>
    <w:rsid w:val="78644FFA"/>
    <w:rsid w:val="79B176A5"/>
    <w:rsid w:val="79CC7CD3"/>
    <w:rsid w:val="7A310A70"/>
    <w:rsid w:val="7ACC7D5F"/>
    <w:rsid w:val="7BE72E55"/>
    <w:rsid w:val="7D1201B6"/>
    <w:rsid w:val="7D1D031C"/>
    <w:rsid w:val="7DDF558F"/>
    <w:rsid w:val="7F815AC1"/>
    <w:rsid w:val="7FAE30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880" w:firstLineChars="2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7"/>
    <w:link w:val="4"/>
    <w:qFormat/>
    <w:locked/>
    <w:uiPriority w:val="99"/>
    <w:rPr>
      <w:rFonts w:ascii="Calibri" w:hAnsi="Calibri" w:eastAsia="宋体" w:cs="Times New Roman"/>
      <w:kern w:val="2"/>
      <w:sz w:val="18"/>
      <w:szCs w:val="18"/>
    </w:rPr>
  </w:style>
  <w:style w:type="character" w:customStyle="1" w:styleId="9">
    <w:name w:val="页脚 Char"/>
    <w:basedOn w:val="7"/>
    <w:link w:val="3"/>
    <w:qFormat/>
    <w:locked/>
    <w:uiPriority w:val="99"/>
    <w:rPr>
      <w:rFonts w:ascii="Calibri" w:hAnsi="Calibri" w:eastAsia="宋体" w:cs="Times New Roman"/>
      <w:kern w:val="2"/>
      <w:sz w:val="18"/>
      <w:szCs w:val="18"/>
    </w:rPr>
  </w:style>
  <w:style w:type="paragraph" w:styleId="10">
    <w:name w:val="List Paragraph"/>
    <w:basedOn w:val="1"/>
    <w:qFormat/>
    <w:uiPriority w:val="99"/>
    <w:pPr>
      <w:ind w:firstLine="420" w:firstLineChars="200"/>
    </w:pPr>
    <w:rPr>
      <w:szCs w:val="22"/>
    </w:rPr>
  </w:style>
  <w:style w:type="character" w:customStyle="1" w:styleId="11">
    <w:name w:val="font161"/>
    <w:basedOn w:val="7"/>
    <w:qFormat/>
    <w:uiPriority w:val="0"/>
    <w:rPr>
      <w:rFonts w:hint="eastAsia" w:ascii="黑体" w:hAnsi="宋体" w:eastAsia="黑体" w:cs="黑体"/>
      <w:color w:val="000000"/>
      <w:sz w:val="28"/>
      <w:szCs w:val="28"/>
      <w:u w:val="none"/>
    </w:rPr>
  </w:style>
  <w:style w:type="character" w:customStyle="1" w:styleId="12">
    <w:name w:val="font21"/>
    <w:basedOn w:val="7"/>
    <w:qFormat/>
    <w:uiPriority w:val="0"/>
    <w:rPr>
      <w:rFonts w:ascii="仿宋_GB2312" w:eastAsia="仿宋_GB2312" w:cs="仿宋_GB2312"/>
      <w:color w:val="000000"/>
      <w:sz w:val="26"/>
      <w:szCs w:val="26"/>
      <w:u w:val="none"/>
    </w:rPr>
  </w:style>
  <w:style w:type="character" w:customStyle="1" w:styleId="13">
    <w:name w:val="font61"/>
    <w:basedOn w:val="7"/>
    <w:qFormat/>
    <w:uiPriority w:val="0"/>
    <w:rPr>
      <w:rFonts w:hint="default" w:ascii="Times New Roman" w:hAnsi="Times New Roman" w:cs="Times New Roman"/>
      <w:color w:val="000000"/>
      <w:sz w:val="26"/>
      <w:szCs w:val="26"/>
      <w:u w:val="none"/>
    </w:rPr>
  </w:style>
  <w:style w:type="character" w:customStyle="1" w:styleId="14">
    <w:name w:val="font91"/>
    <w:basedOn w:val="7"/>
    <w:qFormat/>
    <w:uiPriority w:val="0"/>
    <w:rPr>
      <w:rFonts w:hint="default" w:ascii="Times New Roman" w:hAnsi="Times New Roman" w:cs="Times New Roman"/>
      <w:color w:val="000000"/>
      <w:sz w:val="26"/>
      <w:szCs w:val="26"/>
      <w:u w:val="none"/>
    </w:rPr>
  </w:style>
  <w:style w:type="character" w:customStyle="1" w:styleId="15">
    <w:name w:val="font101"/>
    <w:basedOn w:val="7"/>
    <w:qFormat/>
    <w:uiPriority w:val="0"/>
    <w:rPr>
      <w:rFonts w:hint="eastAsia" w:ascii="仿宋_GB2312" w:eastAsia="仿宋_GB2312" w:cs="仿宋_GB2312"/>
      <w:color w:val="000000"/>
      <w:sz w:val="26"/>
      <w:szCs w:val="26"/>
      <w:u w:val="none"/>
    </w:rPr>
  </w:style>
  <w:style w:type="character" w:customStyle="1" w:styleId="16">
    <w:name w:val="font171"/>
    <w:basedOn w:val="7"/>
    <w:qFormat/>
    <w:uiPriority w:val="0"/>
    <w:rPr>
      <w:rFonts w:hint="eastAsia" w:ascii="仿宋_GB2312" w:eastAsia="仿宋_GB2312" w:cs="仿宋_GB2312"/>
      <w:color w:val="000000"/>
      <w:sz w:val="26"/>
      <w:szCs w:val="26"/>
      <w:u w:val="none"/>
    </w:rPr>
  </w:style>
  <w:style w:type="character" w:customStyle="1" w:styleId="17">
    <w:name w:val="font0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7411</Words>
  <Characters>7509</Characters>
  <Lines>3</Lines>
  <Paragraphs>1</Paragraphs>
  <TotalTime>47</TotalTime>
  <ScaleCrop>false</ScaleCrop>
  <LinksUpToDate>false</LinksUpToDate>
  <CharactersWithSpaces>7595</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2018-05-30T02:55:00Z</dcterms:created>
  <dc:creator>new</dc:creator>
  <cp:lastModifiedBy>TYY</cp:lastModifiedBy>
  <cp:lastPrinted>2020-02-11T11:41:00Z</cp:lastPrinted>
  <dcterms:modified xsi:type="dcterms:W3CDTF">2021-06-28T02:38:35Z</dcterms:modified>
  <dc:title>关于省委国企党建工作领导小组组成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