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after="0" w:line="560" w:lineRule="exact"/>
        <w:jc w:val="left"/>
        <w:textAlignment w:val="auto"/>
        <w:rPr>
          <w:rFonts w:hint="eastAsia" w:ascii="黑体" w:hAnsi="黑体" w:eastAsia="黑体" w:cs="黑体"/>
          <w:b w:val="0"/>
          <w:bCs w:val="0"/>
          <w:color w:val="auto"/>
          <w:kern w:val="0"/>
          <w:sz w:val="32"/>
          <w:szCs w:val="32"/>
          <w:lang w:val="en-US" w:eastAsia="zh-CN" w:bidi="ar"/>
        </w:rPr>
      </w:pPr>
      <w:r>
        <w:rPr>
          <w:rFonts w:hint="eastAsia" w:ascii="黑体" w:hAnsi="黑体" w:eastAsia="黑体" w:cs="黑体"/>
          <w:b w:val="0"/>
          <w:bCs w:val="0"/>
          <w:color w:val="auto"/>
          <w:kern w:val="0"/>
          <w:sz w:val="32"/>
          <w:szCs w:val="32"/>
          <w:lang w:val="en-US" w:eastAsia="zh-CN" w:bidi="ar"/>
        </w:rPr>
        <w:t>附件1</w:t>
      </w:r>
    </w:p>
    <w:p>
      <w:pPr>
        <w:keepNext w:val="0"/>
        <w:keepLines w:val="0"/>
        <w:pageBreakBefore w:val="0"/>
        <w:widowControl/>
        <w:suppressLineNumbers w:val="0"/>
        <w:kinsoku/>
        <w:wordWrap/>
        <w:overflowPunct/>
        <w:topLinePunct w:val="0"/>
        <w:autoSpaceDE/>
        <w:autoSpaceDN/>
        <w:bidi w:val="0"/>
        <w:adjustRightInd/>
        <w:snapToGrid/>
        <w:spacing w:after="0" w:line="560" w:lineRule="exact"/>
        <w:jc w:val="left"/>
        <w:textAlignment w:val="auto"/>
        <w:rPr>
          <w:rFonts w:hint="eastAsia" w:ascii="黑体" w:hAnsi="黑体" w:eastAsia="黑体" w:cs="黑体"/>
          <w:b w:val="0"/>
          <w:bCs w:val="0"/>
          <w:color w:val="auto"/>
          <w:kern w:val="0"/>
          <w:sz w:val="32"/>
          <w:szCs w:val="32"/>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560" w:lineRule="exact"/>
        <w:ind w:right="0" w:rightChars="0"/>
        <w:jc w:val="center"/>
        <w:textAlignment w:val="auto"/>
        <w:rPr>
          <w:rFonts w:hint="eastAsia" w:ascii="宋体" w:hAnsi="宋体" w:eastAsia="宋体" w:cs="宋体"/>
          <w:b/>
          <w:color w:val="auto"/>
          <w:kern w:val="0"/>
          <w:sz w:val="44"/>
          <w:szCs w:val="44"/>
          <w:lang w:val="en-US" w:eastAsia="zh-CN" w:bidi="ar"/>
        </w:rPr>
      </w:pPr>
      <w:r>
        <w:rPr>
          <w:rFonts w:hint="eastAsia" w:ascii="宋体" w:hAnsi="宋体" w:eastAsia="宋体" w:cs="宋体"/>
          <w:b/>
          <w:color w:val="auto"/>
          <w:kern w:val="0"/>
          <w:sz w:val="44"/>
          <w:szCs w:val="44"/>
          <w:lang w:val="en-US" w:eastAsia="zh-CN" w:bidi="ar"/>
        </w:rPr>
        <w:t>贵州省国资委系统混合所有制</w:t>
      </w:r>
    </w:p>
    <w:p>
      <w:pPr>
        <w:keepNext w:val="0"/>
        <w:keepLines w:val="0"/>
        <w:pageBreakBefore w:val="0"/>
        <w:widowControl/>
        <w:suppressLineNumbers w:val="0"/>
        <w:kinsoku/>
        <w:wordWrap/>
        <w:overflowPunct/>
        <w:topLinePunct w:val="0"/>
        <w:autoSpaceDE/>
        <w:autoSpaceDN/>
        <w:bidi w:val="0"/>
        <w:adjustRightInd/>
        <w:snapToGrid/>
        <w:spacing w:after="0" w:line="560" w:lineRule="exact"/>
        <w:ind w:right="0" w:rightChars="0"/>
        <w:jc w:val="center"/>
        <w:textAlignment w:val="auto"/>
        <w:rPr>
          <w:rFonts w:hint="eastAsia" w:ascii="宋体" w:hAnsi="宋体" w:eastAsia="宋体" w:cs="宋体"/>
          <w:b/>
          <w:color w:val="auto"/>
          <w:kern w:val="0"/>
          <w:sz w:val="44"/>
          <w:szCs w:val="44"/>
          <w:lang w:val="en-US" w:eastAsia="zh-CN" w:bidi="ar"/>
        </w:rPr>
      </w:pPr>
      <w:r>
        <w:rPr>
          <w:rFonts w:hint="eastAsia" w:ascii="宋体" w:hAnsi="宋体" w:eastAsia="宋体" w:cs="宋体"/>
          <w:b/>
          <w:color w:val="auto"/>
          <w:kern w:val="0"/>
          <w:sz w:val="44"/>
          <w:szCs w:val="44"/>
          <w:lang w:val="en-US" w:eastAsia="zh-CN" w:bidi="ar"/>
        </w:rPr>
        <w:t>改革招商引资项目</w:t>
      </w:r>
    </w:p>
    <w:p>
      <w:pPr>
        <w:keepNext w:val="0"/>
        <w:keepLines w:val="0"/>
        <w:pageBreakBefore w:val="0"/>
        <w:widowControl/>
        <w:suppressLineNumbers w:val="0"/>
        <w:kinsoku/>
        <w:wordWrap/>
        <w:overflowPunct/>
        <w:topLinePunct w:val="0"/>
        <w:autoSpaceDE/>
        <w:autoSpaceDN/>
        <w:bidi w:val="0"/>
        <w:adjustRightInd/>
        <w:snapToGrid/>
        <w:spacing w:after="0" w:line="560" w:lineRule="exact"/>
        <w:ind w:left="0" w:right="0" w:rightChars="0" w:firstLine="883" w:firstLineChars="200"/>
        <w:jc w:val="center"/>
        <w:textAlignment w:val="auto"/>
        <w:rPr>
          <w:rFonts w:hint="eastAsia" w:ascii="宋体" w:hAnsi="宋体" w:eastAsia="宋体" w:cs="宋体"/>
          <w:b/>
          <w:color w:val="auto"/>
          <w:kern w:val="0"/>
          <w:sz w:val="44"/>
          <w:szCs w:val="44"/>
          <w:lang w:val="en-US" w:eastAsia="zh-CN" w:bidi="ar"/>
        </w:rPr>
      </w:pPr>
    </w:p>
    <w:p>
      <w:pPr>
        <w:keepNext w:val="0"/>
        <w:keepLines w:val="0"/>
        <w:pageBreakBefore w:val="0"/>
        <w:widowControl/>
        <w:kinsoku/>
        <w:wordWrap/>
        <w:overflowPunct/>
        <w:topLinePunct w:val="0"/>
        <w:autoSpaceDE/>
        <w:autoSpaceDN/>
        <w:bidi w:val="0"/>
        <w:adjustRightInd/>
        <w:snapToGrid/>
        <w:spacing w:after="0" w:line="560" w:lineRule="exact"/>
        <w:ind w:left="0" w:firstLine="640" w:firstLineChars="200"/>
        <w:jc w:val="both"/>
        <w:textAlignment w:val="auto"/>
        <w:rPr>
          <w:rFonts w:ascii="仿宋" w:hAnsi="仿宋" w:eastAsia="仿宋"/>
        </w:rPr>
      </w:pPr>
      <w:r>
        <w:rPr>
          <w:rFonts w:ascii="黑体" w:hAnsi="黑体" w:eastAsia="黑体"/>
        </w:rPr>
        <w:t>公司名称：</w:t>
      </w:r>
      <w:r>
        <w:rPr>
          <w:rFonts w:hint="eastAsia" w:ascii="仿宋" w:hAnsi="仿宋" w:eastAsia="仿宋"/>
        </w:rPr>
        <w:t>贵州鹏业国际机电设备招标有限公司</w:t>
      </w:r>
      <w:r>
        <w:rPr>
          <w:rFonts w:ascii="仿宋" w:hAnsi="仿宋" w:eastAsia="仿宋"/>
        </w:rPr>
        <w:t xml:space="preserve">              </w:t>
      </w:r>
    </w:p>
    <w:p>
      <w:pPr>
        <w:keepNext w:val="0"/>
        <w:keepLines w:val="0"/>
        <w:pageBreakBefore w:val="0"/>
        <w:widowControl/>
        <w:kinsoku/>
        <w:wordWrap/>
        <w:overflowPunct/>
        <w:topLinePunct w:val="0"/>
        <w:autoSpaceDE/>
        <w:autoSpaceDN/>
        <w:bidi w:val="0"/>
        <w:adjustRightInd/>
        <w:snapToGrid/>
        <w:spacing w:after="0" w:line="560" w:lineRule="exact"/>
        <w:ind w:left="0" w:firstLine="640" w:firstLineChars="200"/>
        <w:jc w:val="both"/>
        <w:textAlignment w:val="auto"/>
        <w:rPr>
          <w:rFonts w:ascii="仿宋" w:hAnsi="仿宋" w:eastAsia="仿宋"/>
        </w:rPr>
      </w:pPr>
      <w:r>
        <w:rPr>
          <w:rFonts w:ascii="黑体" w:hAnsi="黑体" w:eastAsia="黑体"/>
        </w:rPr>
        <w:t>合作方式：</w:t>
      </w:r>
      <w:r>
        <w:rPr>
          <w:rFonts w:hint="eastAsia" w:ascii="仿宋" w:hAnsi="仿宋" w:eastAsia="仿宋"/>
        </w:rPr>
        <w:t>股权转让</w:t>
      </w:r>
    </w:p>
    <w:p>
      <w:pPr>
        <w:keepNext w:val="0"/>
        <w:keepLines w:val="0"/>
        <w:pageBreakBefore w:val="0"/>
        <w:widowControl/>
        <w:kinsoku/>
        <w:wordWrap/>
        <w:overflowPunct/>
        <w:topLinePunct w:val="0"/>
        <w:autoSpaceDE/>
        <w:autoSpaceDN/>
        <w:bidi w:val="0"/>
        <w:adjustRightInd/>
        <w:snapToGrid/>
        <w:spacing w:after="0" w:line="560" w:lineRule="exact"/>
        <w:ind w:left="0" w:firstLine="640" w:firstLineChars="200"/>
        <w:jc w:val="both"/>
        <w:textAlignment w:val="auto"/>
        <w:rPr>
          <w:rFonts w:ascii="仿宋" w:hAnsi="仿宋" w:eastAsia="仿宋"/>
        </w:rPr>
      </w:pPr>
      <w:r>
        <w:rPr>
          <w:rFonts w:ascii="黑体" w:hAnsi="黑体" w:eastAsia="黑体"/>
        </w:rPr>
        <w:t>公司情况：</w:t>
      </w:r>
      <w:r>
        <w:rPr>
          <w:rFonts w:ascii="仿宋" w:hAnsi="仿宋" w:eastAsia="仿宋"/>
        </w:rPr>
        <w:t xml:space="preserve"> </w:t>
      </w:r>
    </w:p>
    <w:p>
      <w:pPr>
        <w:keepNext w:val="0"/>
        <w:keepLines w:val="0"/>
        <w:pageBreakBefore w:val="0"/>
        <w:widowControl/>
        <w:kinsoku/>
        <w:wordWrap/>
        <w:overflowPunct/>
        <w:topLinePunct w:val="0"/>
        <w:autoSpaceDE/>
        <w:autoSpaceDN/>
        <w:bidi w:val="0"/>
        <w:adjustRightInd/>
        <w:snapToGrid/>
        <w:spacing w:after="0" w:line="560" w:lineRule="exact"/>
        <w:ind w:left="0" w:firstLine="640" w:firstLineChars="200"/>
        <w:jc w:val="both"/>
        <w:textAlignment w:val="auto"/>
        <w:rPr>
          <w:rFonts w:hint="eastAsia" w:ascii="黑体" w:hAnsi="黑体" w:eastAsia="黑体" w:cs="黑体"/>
          <w:b w:val="0"/>
          <w:bCs w:val="0"/>
        </w:rPr>
      </w:pPr>
      <w:r>
        <w:rPr>
          <w:rFonts w:hint="eastAsia" w:ascii="黑体" w:hAnsi="黑体" w:eastAsia="黑体" w:cs="黑体"/>
          <w:b w:val="0"/>
          <w:bCs w:val="0"/>
          <w:lang w:eastAsia="zh-CN"/>
        </w:rPr>
        <w:t>一、</w:t>
      </w:r>
      <w:r>
        <w:rPr>
          <w:rFonts w:hint="eastAsia" w:ascii="黑体" w:hAnsi="黑体" w:eastAsia="黑体" w:cs="黑体"/>
          <w:b w:val="0"/>
          <w:bCs w:val="0"/>
        </w:rPr>
        <w:t>基本情况</w:t>
      </w:r>
    </w:p>
    <w:p>
      <w:pPr>
        <w:keepNext w:val="0"/>
        <w:keepLines w:val="0"/>
        <w:pageBreakBefore w:val="0"/>
        <w:widowControl/>
        <w:kinsoku/>
        <w:wordWrap/>
        <w:overflowPunct/>
        <w:topLinePunct w:val="0"/>
        <w:autoSpaceDE/>
        <w:autoSpaceDN/>
        <w:bidi w:val="0"/>
        <w:adjustRightInd/>
        <w:snapToGrid/>
        <w:spacing w:after="0" w:line="560" w:lineRule="exact"/>
        <w:ind w:left="0" w:firstLine="640" w:firstLineChars="200"/>
        <w:jc w:val="both"/>
        <w:textAlignment w:val="auto"/>
        <w:rPr>
          <w:rFonts w:ascii="仿宋" w:hAnsi="仿宋" w:eastAsia="仿宋"/>
        </w:rPr>
      </w:pPr>
      <w:r>
        <w:rPr>
          <w:rFonts w:hint="eastAsia" w:ascii="仿宋" w:hAnsi="仿宋" w:eastAsia="仿宋"/>
        </w:rPr>
        <w:t>公司前身为贵州省机电设备招标中心，创建于</w:t>
      </w:r>
      <w:r>
        <w:rPr>
          <w:rFonts w:ascii="仿宋" w:hAnsi="仿宋" w:eastAsia="仿宋"/>
        </w:rPr>
        <w:t>1998年</w:t>
      </w:r>
      <w:r>
        <w:rPr>
          <w:rFonts w:hint="eastAsia" w:ascii="仿宋" w:hAnsi="仿宋" w:eastAsia="仿宋"/>
        </w:rPr>
        <w:t>，</w:t>
      </w:r>
      <w:r>
        <w:rPr>
          <w:rFonts w:ascii="仿宋" w:hAnsi="仿宋" w:eastAsia="仿宋"/>
        </w:rPr>
        <w:t>2000年经省政府批复改制为贵州鹏业国际机电设备招标有限公司，现为</w:t>
      </w:r>
      <w:r>
        <w:rPr>
          <w:rFonts w:hint="eastAsia" w:ascii="仿宋" w:hAnsi="仿宋" w:eastAsia="仿宋"/>
        </w:rPr>
        <w:t>贵州省黔晟国有资产经营有限责任公司</w:t>
      </w:r>
      <w:r>
        <w:rPr>
          <w:rFonts w:ascii="仿宋" w:hAnsi="仿宋" w:eastAsia="仿宋"/>
        </w:rPr>
        <w:t>全资子公司</w:t>
      </w:r>
      <w:r>
        <w:rPr>
          <w:rFonts w:hint="eastAsia" w:ascii="仿宋" w:hAnsi="仿宋" w:eastAsia="仿宋"/>
        </w:rPr>
        <w:t>，</w:t>
      </w:r>
      <w:r>
        <w:rPr>
          <w:rFonts w:ascii="仿宋" w:hAnsi="仿宋" w:eastAsia="仿宋"/>
        </w:rPr>
        <w:t>经营场所位于贵阳市云岩区北京路27号鑫都财富大厦16楼，注册资本1000万元。</w:t>
      </w:r>
    </w:p>
    <w:p>
      <w:pPr>
        <w:keepNext w:val="0"/>
        <w:keepLines w:val="0"/>
        <w:pageBreakBefore w:val="0"/>
        <w:widowControl/>
        <w:kinsoku/>
        <w:wordWrap/>
        <w:overflowPunct/>
        <w:topLinePunct w:val="0"/>
        <w:autoSpaceDE/>
        <w:autoSpaceDN/>
        <w:bidi w:val="0"/>
        <w:adjustRightInd/>
        <w:snapToGrid/>
        <w:spacing w:after="0" w:line="560" w:lineRule="exact"/>
        <w:ind w:left="0" w:firstLine="640" w:firstLineChars="200"/>
        <w:jc w:val="both"/>
        <w:textAlignment w:val="auto"/>
        <w:rPr>
          <w:rFonts w:hint="eastAsia" w:ascii="黑体" w:hAnsi="黑体" w:eastAsia="黑体" w:cs="黑体"/>
          <w:b w:val="0"/>
          <w:bCs w:val="0"/>
        </w:rPr>
      </w:pPr>
      <w:r>
        <w:rPr>
          <w:rFonts w:hint="eastAsia" w:ascii="黑体" w:hAnsi="黑体" w:eastAsia="黑体" w:cs="黑体"/>
          <w:b w:val="0"/>
          <w:bCs w:val="0"/>
          <w:lang w:eastAsia="zh-CN"/>
        </w:rPr>
        <w:t>二、</w:t>
      </w:r>
      <w:r>
        <w:rPr>
          <w:rFonts w:hint="eastAsia" w:ascii="黑体" w:hAnsi="黑体" w:eastAsia="黑体" w:cs="黑体"/>
          <w:b w:val="0"/>
          <w:bCs w:val="0"/>
        </w:rPr>
        <w:t>主营业务情况</w:t>
      </w:r>
    </w:p>
    <w:p>
      <w:pPr>
        <w:keepNext w:val="0"/>
        <w:keepLines w:val="0"/>
        <w:pageBreakBefore w:val="0"/>
        <w:widowControl/>
        <w:kinsoku/>
        <w:wordWrap/>
        <w:overflowPunct/>
        <w:topLinePunct w:val="0"/>
        <w:autoSpaceDE/>
        <w:autoSpaceDN/>
        <w:bidi w:val="0"/>
        <w:adjustRightInd/>
        <w:snapToGrid/>
        <w:spacing w:after="0" w:line="560" w:lineRule="exact"/>
        <w:ind w:left="0" w:firstLine="640" w:firstLineChars="200"/>
        <w:jc w:val="both"/>
        <w:textAlignment w:val="auto"/>
        <w:rPr>
          <w:rFonts w:ascii="仿宋" w:hAnsi="仿宋" w:eastAsia="仿宋"/>
        </w:rPr>
      </w:pPr>
      <w:r>
        <w:rPr>
          <w:rFonts w:hint="eastAsia" w:ascii="仿宋" w:hAnsi="仿宋" w:eastAsia="仿宋"/>
        </w:rPr>
        <w:t>主营招标采购代理业务，具有国际招标甲级、政府采购甲级、中央投资项目乙级、工程招标代理能力，是省内最早通过国家国防科技工业局审批备案的军工涉密业务咨询服务安全保密条件备案单位。</w:t>
      </w:r>
    </w:p>
    <w:p>
      <w:pPr>
        <w:keepNext w:val="0"/>
        <w:keepLines w:val="0"/>
        <w:pageBreakBefore w:val="0"/>
        <w:widowControl/>
        <w:kinsoku/>
        <w:wordWrap/>
        <w:overflowPunct/>
        <w:topLinePunct w:val="0"/>
        <w:autoSpaceDE/>
        <w:autoSpaceDN/>
        <w:bidi w:val="0"/>
        <w:adjustRightInd/>
        <w:snapToGrid/>
        <w:spacing w:after="0" w:line="560" w:lineRule="exact"/>
        <w:ind w:left="0" w:firstLine="640" w:firstLineChars="200"/>
        <w:jc w:val="both"/>
        <w:textAlignment w:val="auto"/>
        <w:rPr>
          <w:rFonts w:hint="eastAsia" w:ascii="黑体" w:hAnsi="黑体" w:eastAsia="黑体" w:cs="黑体"/>
          <w:b w:val="0"/>
          <w:bCs w:val="0"/>
        </w:rPr>
      </w:pPr>
      <w:r>
        <w:rPr>
          <w:rFonts w:hint="eastAsia" w:ascii="黑体" w:hAnsi="黑体" w:eastAsia="黑体" w:cs="黑体"/>
          <w:b w:val="0"/>
          <w:bCs w:val="0"/>
          <w:lang w:eastAsia="zh-CN"/>
        </w:rPr>
        <w:t>三、</w:t>
      </w:r>
      <w:r>
        <w:rPr>
          <w:rFonts w:hint="eastAsia" w:ascii="黑体" w:hAnsi="黑体" w:eastAsia="黑体" w:cs="黑体"/>
          <w:b w:val="0"/>
          <w:bCs w:val="0"/>
        </w:rPr>
        <w:t>法人治理结构</w:t>
      </w:r>
    </w:p>
    <w:p>
      <w:pPr>
        <w:keepNext w:val="0"/>
        <w:keepLines w:val="0"/>
        <w:pageBreakBefore w:val="0"/>
        <w:widowControl/>
        <w:kinsoku/>
        <w:wordWrap/>
        <w:overflowPunct/>
        <w:topLinePunct w:val="0"/>
        <w:autoSpaceDE/>
        <w:autoSpaceDN/>
        <w:bidi w:val="0"/>
        <w:adjustRightInd/>
        <w:snapToGrid/>
        <w:spacing w:after="0" w:line="560" w:lineRule="exact"/>
        <w:ind w:left="0" w:firstLine="640" w:firstLineChars="200"/>
        <w:jc w:val="both"/>
        <w:textAlignment w:val="auto"/>
        <w:rPr>
          <w:rFonts w:ascii="仿宋" w:hAnsi="仿宋" w:eastAsia="仿宋"/>
        </w:rPr>
      </w:pPr>
      <w:r>
        <w:rPr>
          <w:rFonts w:hint="eastAsia" w:ascii="仿宋" w:hAnsi="仿宋" w:eastAsia="仿宋"/>
        </w:rPr>
        <w:t>公司法人治理结构完善，党的建设工作隶属于中国共产党黔晟招标和基金管理联合委员会，按照现代企业制度公司设置了董事会、监事会和经理层。公司现有四家分公司，内设综合信息部和财务部两个职能部门，拥有职工4</w:t>
      </w:r>
      <w:r>
        <w:rPr>
          <w:rFonts w:ascii="仿宋" w:hAnsi="仿宋" w:eastAsia="仿宋"/>
        </w:rPr>
        <w:t>7人。</w:t>
      </w:r>
      <w:r>
        <w:rPr>
          <w:rFonts w:hint="eastAsia" w:ascii="仿宋" w:hAnsi="仿宋" w:eastAsia="仿宋"/>
        </w:rPr>
        <w:t>公司现有1户子公司—贵州省黔云集中招标采购服务有限公司。</w:t>
      </w:r>
    </w:p>
    <w:p>
      <w:pPr>
        <w:keepNext w:val="0"/>
        <w:keepLines w:val="0"/>
        <w:pageBreakBefore w:val="0"/>
        <w:widowControl/>
        <w:kinsoku/>
        <w:wordWrap/>
        <w:overflowPunct/>
        <w:topLinePunct w:val="0"/>
        <w:autoSpaceDE/>
        <w:autoSpaceDN/>
        <w:bidi w:val="0"/>
        <w:adjustRightInd/>
        <w:snapToGrid/>
        <w:spacing w:after="0" w:line="560" w:lineRule="exact"/>
        <w:ind w:left="0" w:firstLine="640" w:firstLineChars="200"/>
        <w:jc w:val="both"/>
        <w:textAlignment w:val="auto"/>
        <w:rPr>
          <w:rFonts w:hint="eastAsia" w:ascii="黑体" w:hAnsi="黑体" w:eastAsia="黑体" w:cs="黑体"/>
          <w:b w:val="0"/>
          <w:bCs w:val="0"/>
        </w:rPr>
      </w:pPr>
      <w:r>
        <w:rPr>
          <w:rFonts w:hint="eastAsia" w:ascii="黑体" w:hAnsi="黑体" w:eastAsia="黑体" w:cs="黑体"/>
          <w:b w:val="0"/>
          <w:bCs w:val="0"/>
          <w:lang w:eastAsia="zh-CN"/>
        </w:rPr>
        <w:t>四、</w:t>
      </w:r>
      <w:r>
        <w:rPr>
          <w:rFonts w:hint="eastAsia" w:ascii="黑体" w:hAnsi="黑体" w:eastAsia="黑体" w:cs="黑体"/>
          <w:b w:val="0"/>
          <w:bCs w:val="0"/>
        </w:rPr>
        <w:t>近三年经营情况</w:t>
      </w:r>
    </w:p>
    <w:p>
      <w:pPr>
        <w:keepNext w:val="0"/>
        <w:keepLines w:val="0"/>
        <w:pageBreakBefore w:val="0"/>
        <w:widowControl/>
        <w:kinsoku/>
        <w:wordWrap/>
        <w:overflowPunct/>
        <w:topLinePunct w:val="0"/>
        <w:autoSpaceDE/>
        <w:autoSpaceDN/>
        <w:bidi w:val="0"/>
        <w:adjustRightInd/>
        <w:snapToGrid/>
        <w:spacing w:after="0" w:line="560" w:lineRule="exact"/>
        <w:ind w:left="0" w:firstLine="640" w:firstLineChars="200"/>
        <w:jc w:val="both"/>
        <w:textAlignment w:val="auto"/>
        <w:rPr>
          <w:rFonts w:ascii="仿宋" w:hAnsi="仿宋" w:eastAsia="仿宋"/>
        </w:rPr>
      </w:pPr>
      <w:r>
        <w:rPr>
          <w:rFonts w:ascii="仿宋" w:hAnsi="仿宋" w:eastAsia="仿宋"/>
        </w:rPr>
        <w:t>2018年公司营业收入1948.55万元，利润总额-161.50万元，应缴税费152.66万元。2019年公司营业收入2305.22万元，利润总额8.88万元，应缴税费175.58万元。2020年公司营业收入3600.11万元，利润总额497.01万元，应缴税费302.67万元。</w:t>
      </w:r>
      <w:r>
        <w:rPr>
          <w:rFonts w:hint="eastAsia" w:ascii="仿宋" w:hAnsi="仿宋" w:eastAsia="仿宋"/>
        </w:rPr>
        <w:t>截至</w:t>
      </w:r>
      <w:r>
        <w:rPr>
          <w:rFonts w:ascii="仿宋" w:hAnsi="仿宋" w:eastAsia="仿宋"/>
        </w:rPr>
        <w:t>2020年末，资产总额9672万元，净资产2786万元，负债总额6886万元，资产负债率71.20%。</w:t>
      </w:r>
    </w:p>
    <w:p>
      <w:pPr>
        <w:keepNext w:val="0"/>
        <w:keepLines w:val="0"/>
        <w:pageBreakBefore w:val="0"/>
        <w:widowControl/>
        <w:kinsoku/>
        <w:wordWrap/>
        <w:overflowPunct/>
        <w:topLinePunct w:val="0"/>
        <w:autoSpaceDE/>
        <w:autoSpaceDN/>
        <w:bidi w:val="0"/>
        <w:adjustRightInd/>
        <w:snapToGrid/>
        <w:spacing w:after="0" w:line="560" w:lineRule="exact"/>
        <w:ind w:left="0" w:firstLine="640" w:firstLineChars="200"/>
        <w:jc w:val="both"/>
        <w:textAlignment w:val="auto"/>
        <w:rPr>
          <w:rFonts w:hint="eastAsia" w:ascii="黑体" w:hAnsi="黑体" w:eastAsia="黑体" w:cs="黑体"/>
          <w:b w:val="0"/>
          <w:bCs w:val="0"/>
        </w:rPr>
      </w:pPr>
      <w:r>
        <w:rPr>
          <w:rFonts w:hint="eastAsia" w:ascii="黑体" w:hAnsi="黑体" w:eastAsia="黑体" w:cs="黑体"/>
          <w:b w:val="0"/>
          <w:bCs w:val="0"/>
          <w:lang w:eastAsia="zh-CN"/>
        </w:rPr>
        <w:t>五、</w:t>
      </w:r>
      <w:r>
        <w:rPr>
          <w:rFonts w:hint="eastAsia" w:ascii="黑体" w:hAnsi="黑体" w:eastAsia="黑体" w:cs="黑体"/>
          <w:b w:val="0"/>
          <w:bCs w:val="0"/>
        </w:rPr>
        <w:t>发展规划</w:t>
      </w:r>
    </w:p>
    <w:p>
      <w:pPr>
        <w:keepNext w:val="0"/>
        <w:keepLines w:val="0"/>
        <w:pageBreakBefore w:val="0"/>
        <w:widowControl/>
        <w:kinsoku/>
        <w:wordWrap/>
        <w:overflowPunct/>
        <w:topLinePunct w:val="0"/>
        <w:autoSpaceDE/>
        <w:autoSpaceDN/>
        <w:bidi w:val="0"/>
        <w:adjustRightInd/>
        <w:snapToGrid/>
        <w:spacing w:after="0" w:line="560" w:lineRule="exact"/>
        <w:ind w:left="0" w:firstLine="640" w:firstLineChars="200"/>
        <w:jc w:val="both"/>
        <w:textAlignment w:val="auto"/>
        <w:rPr>
          <w:rFonts w:ascii="仿宋" w:hAnsi="仿宋" w:eastAsia="仿宋"/>
        </w:rPr>
      </w:pPr>
      <w:r>
        <w:rPr>
          <w:rFonts w:hint="eastAsia" w:ascii="仿宋" w:hAnsi="仿宋" w:eastAsia="仿宋"/>
        </w:rPr>
        <w:t>“十四五”期间，公司以黔晟国资公司发展规划为总揽，在招标和基金联合党委领导下，坚持诚实守信经营理念，把握国内招标代理行业总体发展趋势，适应国家招标代理政策法规调整要求，以市场需求为导向，以为国有企业为主的企业集团集中采购提供高效服务为基石，巩固和发展招标采购代理主业，发挥专业优势，向重专业、重价值的高阶层次的技术咨询服务转变，不断完善招标代理全过程咨询服务体系，逐步形成在省内同行业占重要地位并具重要影响力的多元素、多方向、多领域的生产资料交易咨询服务机构。预计到</w:t>
      </w:r>
      <w:r>
        <w:rPr>
          <w:rFonts w:ascii="仿宋" w:hAnsi="仿宋" w:eastAsia="仿宋"/>
        </w:rPr>
        <w:t>2025年，</w:t>
      </w:r>
      <w:r>
        <w:rPr>
          <w:rFonts w:hint="eastAsia" w:ascii="仿宋" w:hAnsi="仿宋" w:eastAsia="仿宋"/>
        </w:rPr>
        <w:t>年</w:t>
      </w:r>
      <w:r>
        <w:rPr>
          <w:rFonts w:ascii="仿宋" w:hAnsi="仿宋" w:eastAsia="仿宋"/>
        </w:rPr>
        <w:t>营业收</w:t>
      </w:r>
      <w:r>
        <w:rPr>
          <w:rFonts w:hint="eastAsia" w:ascii="仿宋" w:hAnsi="仿宋" w:eastAsia="仿宋"/>
        </w:rPr>
        <w:t>入</w:t>
      </w:r>
      <w:r>
        <w:rPr>
          <w:rFonts w:ascii="仿宋" w:hAnsi="仿宋" w:eastAsia="仿宋"/>
        </w:rPr>
        <w:t>达到5000万元，利润达到800万元。</w:t>
      </w:r>
    </w:p>
    <w:p>
      <w:pPr>
        <w:keepNext w:val="0"/>
        <w:keepLines w:val="0"/>
        <w:pageBreakBefore w:val="0"/>
        <w:widowControl/>
        <w:kinsoku/>
        <w:wordWrap/>
        <w:overflowPunct/>
        <w:topLinePunct w:val="0"/>
        <w:autoSpaceDE/>
        <w:autoSpaceDN/>
        <w:bidi w:val="0"/>
        <w:adjustRightInd/>
        <w:snapToGrid/>
        <w:spacing w:after="0" w:line="560" w:lineRule="exact"/>
        <w:ind w:left="0" w:firstLine="640" w:firstLineChars="200"/>
        <w:jc w:val="both"/>
        <w:textAlignment w:val="auto"/>
        <w:rPr>
          <w:rFonts w:hint="eastAsia" w:ascii="黑体" w:hAnsi="黑体" w:eastAsia="黑体" w:cs="黑体"/>
          <w:b w:val="0"/>
          <w:bCs w:val="0"/>
        </w:rPr>
      </w:pPr>
      <w:r>
        <w:rPr>
          <w:rFonts w:hint="eastAsia" w:ascii="黑体" w:hAnsi="黑体" w:eastAsia="黑体" w:cs="黑体"/>
          <w:b w:val="0"/>
          <w:bCs w:val="0"/>
          <w:lang w:eastAsia="zh-CN"/>
        </w:rPr>
        <w:t>六、</w:t>
      </w:r>
      <w:r>
        <w:rPr>
          <w:rFonts w:hint="eastAsia" w:ascii="黑体" w:hAnsi="黑体" w:eastAsia="黑体" w:cs="黑体"/>
          <w:b w:val="0"/>
          <w:bCs w:val="0"/>
        </w:rPr>
        <w:t>行业分析</w:t>
      </w:r>
    </w:p>
    <w:p>
      <w:pPr>
        <w:keepNext w:val="0"/>
        <w:keepLines w:val="0"/>
        <w:pageBreakBefore w:val="0"/>
        <w:widowControl/>
        <w:kinsoku/>
        <w:wordWrap/>
        <w:overflowPunct/>
        <w:topLinePunct w:val="0"/>
        <w:autoSpaceDE/>
        <w:autoSpaceDN/>
        <w:bidi w:val="0"/>
        <w:adjustRightInd/>
        <w:snapToGrid/>
        <w:spacing w:after="0" w:line="560" w:lineRule="exact"/>
        <w:ind w:left="0" w:firstLine="640" w:firstLineChars="200"/>
        <w:jc w:val="both"/>
        <w:textAlignment w:val="auto"/>
        <w:rPr>
          <w:rFonts w:ascii="仿宋" w:hAnsi="仿宋" w:eastAsia="仿宋"/>
        </w:rPr>
      </w:pPr>
      <w:r>
        <w:rPr>
          <w:rFonts w:hint="eastAsia" w:ascii="仿宋" w:hAnsi="仿宋" w:eastAsia="仿宋"/>
        </w:rPr>
        <w:t>我国招标投标代理行业已有3</w:t>
      </w:r>
      <w:r>
        <w:rPr>
          <w:rFonts w:ascii="仿宋" w:hAnsi="仿宋" w:eastAsia="仿宋"/>
        </w:rPr>
        <w:t>0</w:t>
      </w:r>
      <w:r>
        <w:rPr>
          <w:rFonts w:hint="eastAsia" w:ascii="仿宋" w:hAnsi="仿宋" w:eastAsia="仿宋"/>
        </w:rPr>
        <w:t>多年的历史，为国民经济建设和经济发展做出了重要的贡献。招标投标代理行业处于完全竞争性领域，随着国家不断深入推进“</w:t>
      </w:r>
      <w:r>
        <w:rPr>
          <w:rFonts w:ascii="仿宋" w:hAnsi="仿宋" w:eastAsia="仿宋"/>
        </w:rPr>
        <w:t>放管服</w:t>
      </w:r>
      <w:r>
        <w:rPr>
          <w:rFonts w:hint="eastAsia" w:ascii="仿宋" w:hAnsi="仿宋" w:eastAsia="仿宋"/>
        </w:rPr>
        <w:t>”</w:t>
      </w:r>
      <w:r>
        <w:rPr>
          <w:rFonts w:ascii="仿宋" w:hAnsi="仿宋" w:eastAsia="仿宋"/>
        </w:rPr>
        <w:t>改革，招标代理市场进一步开放，全国各地招标代理机构数量与日俱增，</w:t>
      </w:r>
      <w:r>
        <w:rPr>
          <w:rFonts w:hint="eastAsia" w:ascii="仿宋" w:hAnsi="仿宋" w:eastAsia="仿宋"/>
        </w:rPr>
        <w:t>市场竞争日趋剧烈。目前国内大多数招标代理机构的服务范围通常是简单固定的程序型服务，缺乏可持续发展动力，迫使招标代理机构被淘汰或向管理咨询型技术服务方向转变。同时，</w:t>
      </w:r>
      <w:r>
        <w:rPr>
          <w:rFonts w:ascii="仿宋" w:hAnsi="仿宋" w:eastAsia="仿宋"/>
        </w:rPr>
        <w:t>在</w:t>
      </w:r>
      <w:r>
        <w:rPr>
          <w:rFonts w:hint="eastAsia" w:ascii="仿宋" w:hAnsi="仿宋" w:eastAsia="仿宋"/>
        </w:rPr>
        <w:t>互联网高速</w:t>
      </w:r>
      <w:r>
        <w:rPr>
          <w:rFonts w:ascii="仿宋" w:hAnsi="仿宋" w:eastAsia="仿宋"/>
        </w:rPr>
        <w:t>发展的</w:t>
      </w:r>
      <w:r>
        <w:rPr>
          <w:rFonts w:hint="eastAsia" w:ascii="仿宋" w:hAnsi="仿宋" w:eastAsia="仿宋"/>
        </w:rPr>
        <w:t>当下</w:t>
      </w:r>
      <w:r>
        <w:rPr>
          <w:rFonts w:ascii="仿宋" w:hAnsi="仿宋" w:eastAsia="仿宋"/>
        </w:rPr>
        <w:t>，随着电子招投标法律制度的建立和完善，电</w:t>
      </w:r>
      <w:r>
        <w:rPr>
          <w:rFonts w:hint="eastAsia" w:ascii="仿宋" w:hAnsi="仿宋" w:eastAsia="仿宋"/>
        </w:rPr>
        <w:t>子招投标已成为行业发展的方向。</w:t>
      </w:r>
    </w:p>
    <w:p>
      <w:pPr>
        <w:keepNext w:val="0"/>
        <w:keepLines w:val="0"/>
        <w:pageBreakBefore w:val="0"/>
        <w:widowControl/>
        <w:kinsoku/>
        <w:wordWrap/>
        <w:overflowPunct/>
        <w:topLinePunct w:val="0"/>
        <w:autoSpaceDE/>
        <w:autoSpaceDN/>
        <w:bidi w:val="0"/>
        <w:adjustRightInd/>
        <w:snapToGrid/>
        <w:spacing w:after="0" w:line="560" w:lineRule="exact"/>
        <w:ind w:left="0" w:firstLine="640" w:firstLineChars="200"/>
        <w:jc w:val="both"/>
        <w:textAlignment w:val="auto"/>
        <w:rPr>
          <w:rFonts w:ascii="黑体" w:hAnsi="黑体" w:eastAsia="黑体"/>
        </w:rPr>
      </w:pPr>
      <w:r>
        <w:rPr>
          <w:rFonts w:ascii="黑体" w:hAnsi="黑体" w:eastAsia="黑体"/>
        </w:rPr>
        <w:t xml:space="preserve">相关说明： </w:t>
      </w:r>
    </w:p>
    <w:p>
      <w:pPr>
        <w:keepNext w:val="0"/>
        <w:keepLines w:val="0"/>
        <w:pageBreakBefore w:val="0"/>
        <w:widowControl/>
        <w:kinsoku/>
        <w:wordWrap/>
        <w:overflowPunct/>
        <w:topLinePunct w:val="0"/>
        <w:autoSpaceDE/>
        <w:autoSpaceDN/>
        <w:bidi w:val="0"/>
        <w:adjustRightInd/>
        <w:snapToGrid/>
        <w:spacing w:after="0" w:line="560" w:lineRule="exact"/>
        <w:ind w:left="0" w:firstLine="640" w:firstLineChars="200"/>
        <w:jc w:val="both"/>
        <w:textAlignment w:val="auto"/>
        <w:rPr>
          <w:rFonts w:ascii="仿宋" w:hAnsi="仿宋" w:eastAsia="仿宋"/>
        </w:rPr>
      </w:pPr>
      <w:r>
        <w:rPr>
          <w:rFonts w:hint="eastAsia" w:ascii="黑体" w:hAnsi="黑体" w:eastAsia="黑体"/>
          <w:lang w:eastAsia="zh-CN"/>
        </w:rPr>
        <w:t>一、</w:t>
      </w:r>
      <w:r>
        <w:rPr>
          <w:rFonts w:hint="eastAsia" w:ascii="黑体" w:hAnsi="黑体" w:eastAsia="黑体"/>
        </w:rPr>
        <w:t>引资需求。</w:t>
      </w:r>
      <w:r>
        <w:rPr>
          <w:rFonts w:hint="eastAsia" w:ascii="仿宋" w:hAnsi="仿宋" w:eastAsia="仿宋"/>
        </w:rPr>
        <w:t>引入咨询行业具有较</w:t>
      </w:r>
      <w:r>
        <w:rPr>
          <w:rFonts w:ascii="仿宋" w:hAnsi="仿宋" w:eastAsia="仿宋"/>
        </w:rPr>
        <w:t>高匹配度、协同性的战略投资者</w:t>
      </w:r>
      <w:r>
        <w:rPr>
          <w:rFonts w:hint="eastAsia" w:ascii="仿宋" w:hAnsi="仿宋" w:eastAsia="仿宋"/>
        </w:rPr>
        <w:t>（民营资本），完善机制、改进服务，进一步激发企业经营活力，提高企业核心竞争力，拓宽市场领域，推动企业做专做精、做强做大。</w:t>
      </w:r>
    </w:p>
    <w:p>
      <w:pPr>
        <w:keepNext w:val="0"/>
        <w:keepLines w:val="0"/>
        <w:pageBreakBefore w:val="0"/>
        <w:widowControl/>
        <w:kinsoku/>
        <w:wordWrap/>
        <w:overflowPunct/>
        <w:topLinePunct w:val="0"/>
        <w:autoSpaceDE/>
        <w:autoSpaceDN/>
        <w:bidi w:val="0"/>
        <w:adjustRightInd/>
        <w:snapToGrid/>
        <w:spacing w:after="0" w:line="560" w:lineRule="exact"/>
        <w:ind w:left="0" w:firstLine="640" w:firstLineChars="200"/>
        <w:jc w:val="both"/>
        <w:textAlignment w:val="auto"/>
        <w:rPr>
          <w:rFonts w:ascii="仿宋" w:hAnsi="仿宋" w:eastAsia="仿宋"/>
        </w:rPr>
      </w:pPr>
      <w:r>
        <w:rPr>
          <w:rFonts w:hint="eastAsia" w:ascii="黑体" w:hAnsi="黑体" w:eastAsia="黑体"/>
          <w:lang w:eastAsia="zh-CN"/>
        </w:rPr>
        <w:t>二、股权结构。</w:t>
      </w:r>
      <w:r>
        <w:rPr>
          <w:rFonts w:hint="eastAsia" w:ascii="仿宋" w:hAnsi="仿宋" w:eastAsia="仿宋"/>
        </w:rPr>
        <w:t>实现产权多元化、混合所有制，非国有资本可占控股地位。</w:t>
      </w:r>
    </w:p>
    <w:p>
      <w:pPr>
        <w:keepNext w:val="0"/>
        <w:keepLines w:val="0"/>
        <w:pageBreakBefore w:val="0"/>
        <w:widowControl/>
        <w:kinsoku/>
        <w:wordWrap/>
        <w:overflowPunct/>
        <w:topLinePunct w:val="0"/>
        <w:autoSpaceDE/>
        <w:autoSpaceDN/>
        <w:bidi w:val="0"/>
        <w:adjustRightInd/>
        <w:snapToGrid/>
        <w:spacing w:after="0" w:line="560" w:lineRule="exact"/>
        <w:ind w:left="0" w:firstLine="640" w:firstLineChars="200"/>
        <w:jc w:val="both"/>
        <w:textAlignment w:val="auto"/>
        <w:rPr>
          <w:rFonts w:ascii="仿宋" w:hAnsi="仿宋" w:eastAsia="仿宋"/>
        </w:rPr>
      </w:pPr>
      <w:r>
        <w:rPr>
          <w:rFonts w:hint="eastAsia" w:ascii="黑体" w:hAnsi="黑体" w:eastAsia="黑体"/>
          <w:lang w:eastAsia="zh-CN"/>
        </w:rPr>
        <w:t>三、法人治理。</w:t>
      </w:r>
      <w:r>
        <w:rPr>
          <w:rFonts w:hint="eastAsia" w:ascii="仿宋" w:hAnsi="仿宋" w:eastAsia="仿宋"/>
        </w:rPr>
        <w:t>建立健全产权清晰、权责明确、政企分开、管理科学的现代企业制度，积极适应国有企业改革的新形势新要求，健全各司其职、各负其责、协调运转、有效制衡的企业法人治理结构。</w:t>
      </w:r>
    </w:p>
    <w:p>
      <w:pPr>
        <w:keepNext w:val="0"/>
        <w:keepLines w:val="0"/>
        <w:pageBreakBefore w:val="0"/>
        <w:widowControl/>
        <w:kinsoku/>
        <w:wordWrap/>
        <w:overflowPunct/>
        <w:topLinePunct w:val="0"/>
        <w:autoSpaceDE/>
        <w:autoSpaceDN/>
        <w:bidi w:val="0"/>
        <w:adjustRightInd/>
        <w:snapToGrid/>
        <w:spacing w:after="0" w:line="560" w:lineRule="exact"/>
        <w:ind w:left="0" w:firstLine="640" w:firstLineChars="200"/>
        <w:jc w:val="both"/>
        <w:textAlignment w:val="auto"/>
        <w:rPr>
          <w:rFonts w:ascii="仿宋" w:hAnsi="仿宋" w:eastAsia="仿宋"/>
        </w:rPr>
      </w:pPr>
      <w:r>
        <w:rPr>
          <w:rFonts w:hint="eastAsia" w:ascii="黑体" w:hAnsi="黑体" w:eastAsia="黑体" w:cs="黑体"/>
          <w:b w:val="0"/>
          <w:bCs w:val="0"/>
        </w:rPr>
        <w:t>单位联系方式</w:t>
      </w:r>
      <w:r>
        <w:rPr>
          <w:rFonts w:hint="eastAsia" w:ascii="黑体" w:hAnsi="黑体" w:eastAsia="黑体" w:cs="黑体"/>
          <w:b w:val="0"/>
          <w:bCs w:val="0"/>
          <w:lang w:eastAsia="zh-CN"/>
        </w:rPr>
        <w:t>：</w:t>
      </w:r>
      <w:r>
        <w:rPr>
          <w:rFonts w:hint="eastAsia" w:ascii="仿宋" w:hAnsi="仿宋" w:eastAsia="仿宋"/>
        </w:rPr>
        <w:t>毛雪岚</w:t>
      </w:r>
      <w:r>
        <w:rPr>
          <w:rFonts w:hint="eastAsia" w:ascii="仿宋" w:hAnsi="仿宋" w:eastAsia="仿宋"/>
          <w:lang w:val="en-US" w:eastAsia="zh-CN"/>
        </w:rPr>
        <w:t xml:space="preserve">  </w:t>
      </w:r>
      <w:r>
        <w:rPr>
          <w:rFonts w:hint="eastAsia" w:ascii="仿宋" w:hAnsi="仿宋" w:eastAsia="仿宋"/>
        </w:rPr>
        <w:t>0</w:t>
      </w:r>
      <w:r>
        <w:rPr>
          <w:rFonts w:ascii="仿宋" w:hAnsi="仿宋" w:eastAsia="仿宋"/>
        </w:rPr>
        <w:t>851-86800086</w:t>
      </w:r>
      <w:r>
        <w:rPr>
          <w:rFonts w:hint="eastAsia" w:ascii="仿宋" w:hAnsi="仿宋" w:eastAsia="仿宋"/>
          <w:lang w:val="en-US" w:eastAsia="zh-CN"/>
        </w:rPr>
        <w:t xml:space="preserve"> </w:t>
      </w:r>
      <w:r>
        <w:rPr>
          <w:rFonts w:hint="eastAsia" w:ascii="仿宋" w:hAnsi="仿宋" w:eastAsia="仿宋"/>
        </w:rPr>
        <w:t>1</w:t>
      </w:r>
      <w:r>
        <w:rPr>
          <w:rFonts w:ascii="仿宋" w:hAnsi="仿宋" w:eastAsia="仿宋"/>
        </w:rPr>
        <w:t>8185019721</w:t>
      </w:r>
    </w:p>
    <w:p>
      <w:pPr>
        <w:keepNext w:val="0"/>
        <w:keepLines w:val="0"/>
        <w:pageBreakBefore w:val="0"/>
        <w:widowControl/>
        <w:kinsoku/>
        <w:wordWrap/>
        <w:overflowPunct/>
        <w:topLinePunct w:val="0"/>
        <w:autoSpaceDE/>
        <w:autoSpaceDN/>
        <w:bidi w:val="0"/>
        <w:adjustRightInd/>
        <w:snapToGrid/>
        <w:spacing w:after="0" w:line="560" w:lineRule="exact"/>
        <w:ind w:left="0" w:firstLine="640" w:firstLineChars="200"/>
        <w:jc w:val="both"/>
        <w:textAlignment w:val="auto"/>
        <w:rPr>
          <w:rFonts w:ascii="仿宋" w:hAnsi="仿宋" w:eastAsia="仿宋"/>
        </w:rPr>
      </w:pPr>
      <w:r>
        <w:rPr>
          <w:rFonts w:hint="eastAsia" w:ascii="仿宋" w:hAnsi="仿宋" w:eastAsia="仿宋"/>
        </w:rPr>
        <w:t>电子邮箱：</w:t>
      </w:r>
      <w:r>
        <w:rPr>
          <w:rFonts w:ascii="仿宋" w:hAnsi="仿宋" w:eastAsia="仿宋"/>
        </w:rPr>
        <w:t>maoxuelan@vip.qq.com</w:t>
      </w:r>
    </w:p>
    <w:sectPr>
      <w:headerReference r:id="rId3" w:type="default"/>
      <w:footerReference r:id="rId4" w:type="default"/>
      <w:pgSz w:w="11906" w:h="16838"/>
      <w:pgMar w:top="2098" w:right="1474" w:bottom="1984" w:left="1587" w:header="1417" w:footer="1417" w:gutter="0"/>
      <w:pgNumType w:fmt="numberInDash"/>
      <w:cols w:space="720" w:num="1"/>
      <w:docGrid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bookmarkStart w:id="0" w:name="_GoBack"/>
    <w:bookmarkEnd w:id="0"/>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仿宋" w:hAnsi="仿宋" w:eastAsia="仿宋" w:cs="仿宋"/>
                              <w:sz w:val="32"/>
                              <w:szCs w:val="32"/>
                              <w:lang w:eastAsia="zh-CN"/>
                            </w:rPr>
                          </w:pPr>
                          <w:r>
                            <w:rPr>
                              <w:rFonts w:hint="eastAsia" w:ascii="仿宋" w:hAnsi="仿宋" w:eastAsia="仿宋" w:cs="仿宋"/>
                              <w:sz w:val="32"/>
                              <w:szCs w:val="32"/>
                              <w:lang w:eastAsia="zh-CN"/>
                            </w:rPr>
                            <w:fldChar w:fldCharType="begin"/>
                          </w:r>
                          <w:r>
                            <w:rPr>
                              <w:rFonts w:hint="eastAsia" w:ascii="仿宋" w:hAnsi="仿宋" w:eastAsia="仿宋" w:cs="仿宋"/>
                              <w:sz w:val="32"/>
                              <w:szCs w:val="32"/>
                              <w:lang w:eastAsia="zh-CN"/>
                            </w:rPr>
                            <w:instrText xml:space="preserve"> PAGE  \* MERGEFORMAT </w:instrText>
                          </w:r>
                          <w:r>
                            <w:rPr>
                              <w:rFonts w:hint="eastAsia" w:ascii="仿宋" w:hAnsi="仿宋" w:eastAsia="仿宋" w:cs="仿宋"/>
                              <w:sz w:val="32"/>
                              <w:szCs w:val="32"/>
                              <w:lang w:eastAsia="zh-CN"/>
                            </w:rPr>
                            <w:fldChar w:fldCharType="separate"/>
                          </w:r>
                          <w:r>
                            <w:rPr>
                              <w:rFonts w:hint="eastAsia" w:ascii="仿宋" w:hAnsi="仿宋" w:eastAsia="仿宋" w:cs="仿宋"/>
                              <w:sz w:val="32"/>
                              <w:szCs w:val="32"/>
                              <w:lang w:eastAsia="zh-CN"/>
                            </w:rPr>
                            <w:t>1</w:t>
                          </w:r>
                          <w:r>
                            <w:rPr>
                              <w:rFonts w:hint="eastAsia" w:ascii="仿宋" w:hAnsi="仿宋" w:eastAsia="仿宋" w:cs="仿宋"/>
                              <w:sz w:val="32"/>
                              <w:szCs w:val="32"/>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ascii="仿宋" w:hAnsi="仿宋" w:eastAsia="仿宋" w:cs="仿宋"/>
                        <w:sz w:val="32"/>
                        <w:szCs w:val="32"/>
                        <w:lang w:eastAsia="zh-CN"/>
                      </w:rPr>
                    </w:pPr>
                    <w:r>
                      <w:rPr>
                        <w:rFonts w:hint="eastAsia" w:ascii="仿宋" w:hAnsi="仿宋" w:eastAsia="仿宋" w:cs="仿宋"/>
                        <w:sz w:val="32"/>
                        <w:szCs w:val="32"/>
                        <w:lang w:eastAsia="zh-CN"/>
                      </w:rPr>
                      <w:fldChar w:fldCharType="begin"/>
                    </w:r>
                    <w:r>
                      <w:rPr>
                        <w:rFonts w:hint="eastAsia" w:ascii="仿宋" w:hAnsi="仿宋" w:eastAsia="仿宋" w:cs="仿宋"/>
                        <w:sz w:val="32"/>
                        <w:szCs w:val="32"/>
                        <w:lang w:eastAsia="zh-CN"/>
                      </w:rPr>
                      <w:instrText xml:space="preserve"> PAGE  \* MERGEFORMAT </w:instrText>
                    </w:r>
                    <w:r>
                      <w:rPr>
                        <w:rFonts w:hint="eastAsia" w:ascii="仿宋" w:hAnsi="仿宋" w:eastAsia="仿宋" w:cs="仿宋"/>
                        <w:sz w:val="32"/>
                        <w:szCs w:val="32"/>
                        <w:lang w:eastAsia="zh-CN"/>
                      </w:rPr>
                      <w:fldChar w:fldCharType="separate"/>
                    </w:r>
                    <w:r>
                      <w:rPr>
                        <w:rFonts w:hint="eastAsia" w:ascii="仿宋" w:hAnsi="仿宋" w:eastAsia="仿宋" w:cs="仿宋"/>
                        <w:sz w:val="32"/>
                        <w:szCs w:val="32"/>
                        <w:lang w:eastAsia="zh-CN"/>
                      </w:rPr>
                      <w:t>1</w:t>
                    </w:r>
                    <w:r>
                      <w:rPr>
                        <w:rFonts w:hint="eastAsia" w:ascii="仿宋" w:hAnsi="仿宋" w:eastAsia="仿宋" w:cs="仿宋"/>
                        <w:sz w:val="32"/>
                        <w:szCs w:val="32"/>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F01"/>
    <w:rsid w:val="000778EE"/>
    <w:rsid w:val="000C5482"/>
    <w:rsid w:val="001108F9"/>
    <w:rsid w:val="00146D6B"/>
    <w:rsid w:val="00183CEE"/>
    <w:rsid w:val="002671DE"/>
    <w:rsid w:val="00456FB9"/>
    <w:rsid w:val="004D61E9"/>
    <w:rsid w:val="005363D7"/>
    <w:rsid w:val="00570472"/>
    <w:rsid w:val="005707A3"/>
    <w:rsid w:val="00610E7F"/>
    <w:rsid w:val="00622BC4"/>
    <w:rsid w:val="006A26DC"/>
    <w:rsid w:val="006F4F01"/>
    <w:rsid w:val="00756787"/>
    <w:rsid w:val="00776491"/>
    <w:rsid w:val="00804D6B"/>
    <w:rsid w:val="008155A1"/>
    <w:rsid w:val="008B2A8D"/>
    <w:rsid w:val="008D785B"/>
    <w:rsid w:val="00C13DD5"/>
    <w:rsid w:val="00CC251C"/>
    <w:rsid w:val="00D055C4"/>
    <w:rsid w:val="00D8047C"/>
    <w:rsid w:val="00DB11FD"/>
    <w:rsid w:val="00DC23CF"/>
    <w:rsid w:val="00E22A17"/>
    <w:rsid w:val="00E5095E"/>
    <w:rsid w:val="00F12F80"/>
    <w:rsid w:val="00F3650A"/>
    <w:rsid w:val="00F71C46"/>
    <w:rsid w:val="14F10839"/>
    <w:rsid w:val="335C3ACB"/>
    <w:rsid w:val="5B264F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40" w:line="259" w:lineRule="auto"/>
      <w:ind w:left="10" w:hanging="10"/>
    </w:pPr>
    <w:rPr>
      <w:rFonts w:ascii="微软雅黑" w:hAnsi="微软雅黑" w:eastAsia="微软雅黑" w:cs="微软雅黑"/>
      <w:color w:val="000000"/>
      <w:kern w:val="2"/>
      <w:sz w:val="32"/>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spacing w:line="240" w:lineRule="auto"/>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spacing w:line="240" w:lineRule="auto"/>
      <w:jc w:val="center"/>
    </w:pPr>
    <w:rPr>
      <w:sz w:val="18"/>
      <w:szCs w:val="18"/>
    </w:rPr>
  </w:style>
  <w:style w:type="character" w:customStyle="1" w:styleId="6">
    <w:name w:val="页眉 字符"/>
    <w:basedOn w:val="5"/>
    <w:link w:val="3"/>
    <w:uiPriority w:val="99"/>
    <w:rPr>
      <w:rFonts w:ascii="微软雅黑" w:hAnsi="微软雅黑" w:eastAsia="微软雅黑" w:cs="微软雅黑"/>
      <w:color w:val="000000"/>
      <w:sz w:val="18"/>
      <w:szCs w:val="18"/>
    </w:rPr>
  </w:style>
  <w:style w:type="character" w:customStyle="1" w:styleId="7">
    <w:name w:val="页脚 字符"/>
    <w:basedOn w:val="5"/>
    <w:link w:val="2"/>
    <w:qFormat/>
    <w:uiPriority w:val="99"/>
    <w:rPr>
      <w:rFonts w:ascii="微软雅黑" w:hAnsi="微软雅黑" w:eastAsia="微软雅黑" w:cs="微软雅黑"/>
      <w:color w:val="00000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221</Words>
  <Characters>1266</Characters>
  <Lines>10</Lines>
  <Paragraphs>2</Paragraphs>
  <TotalTime>14</TotalTime>
  <ScaleCrop>false</ScaleCrop>
  <LinksUpToDate>false</LinksUpToDate>
  <CharactersWithSpaces>1485</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2021-07-07T09:44:00Z</dcterms:created>
  <dc:creator>admin</dc:creator>
  <cp:lastModifiedBy>吴蕙伶</cp:lastModifiedBy>
  <dcterms:modified xsi:type="dcterms:W3CDTF">2021-07-14T01:44:29Z</dcterms:modified>
  <dc:title>贵阳市人民政府文件</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