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7D" w:rsidRDefault="00FB5C7D" w:rsidP="00FB5C7D">
      <w:pPr>
        <w:widowControl/>
        <w:shd w:val="clear" w:color="auto" w:fill="FBFFFF"/>
        <w:spacing w:line="360" w:lineRule="atLeast"/>
        <w:ind w:firstLine="480"/>
        <w:jc w:val="center"/>
        <w:rPr>
          <w:rFonts w:ascii="宋体" w:hAnsi="宋体" w:hint="eastAsia"/>
          <w:color w:val="071214"/>
          <w:kern w:val="0"/>
          <w:sz w:val="44"/>
          <w:szCs w:val="44"/>
          <w:shd w:val="clear" w:color="auto" w:fill="FFFFFF"/>
        </w:rPr>
      </w:pPr>
      <w:bookmarkStart w:id="0" w:name="OLE_LINK8"/>
      <w:bookmarkStart w:id="1" w:name="OLE_LINK9"/>
      <w:r>
        <w:rPr>
          <w:rFonts w:ascii="宋体" w:hAnsi="宋体" w:hint="eastAsia"/>
          <w:color w:val="071214"/>
          <w:kern w:val="0"/>
          <w:sz w:val="44"/>
          <w:szCs w:val="44"/>
          <w:shd w:val="clear" w:color="auto" w:fill="FFFFFF"/>
        </w:rPr>
        <w:t>省国资委信息公开情况统计表</w:t>
      </w:r>
    </w:p>
    <w:bookmarkEnd w:id="0"/>
    <w:bookmarkEnd w:id="1"/>
    <w:p w:rsidR="00FB5C7D" w:rsidRDefault="00FB5C7D" w:rsidP="00FB5C7D">
      <w:pPr>
        <w:widowControl/>
        <w:shd w:val="clear" w:color="auto" w:fill="FBFFFF"/>
        <w:spacing w:line="360" w:lineRule="atLeast"/>
        <w:ind w:firstLine="480"/>
        <w:jc w:val="center"/>
        <w:rPr>
          <w:rFonts w:ascii="仿宋_GB2312" w:eastAsia="仿宋_GB2312" w:hAnsi="宋体" w:hint="eastAsia"/>
          <w:color w:val="071214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hint="eastAsia"/>
          <w:color w:val="071214"/>
          <w:kern w:val="0"/>
          <w:sz w:val="30"/>
          <w:szCs w:val="30"/>
          <w:shd w:val="clear" w:color="auto" w:fill="FFFFFF"/>
        </w:rPr>
        <w:t>（2014年度）</w:t>
      </w:r>
    </w:p>
    <w:tbl>
      <w:tblPr>
        <w:tblW w:w="0" w:type="auto"/>
        <w:tblInd w:w="93" w:type="dxa"/>
        <w:tblLayout w:type="fixed"/>
        <w:tblLook w:val="0000"/>
      </w:tblPr>
      <w:tblGrid>
        <w:gridCol w:w="6872"/>
        <w:gridCol w:w="501"/>
        <w:gridCol w:w="1483"/>
      </w:tblGrid>
      <w:tr w:rsidR="00FB5C7D" w:rsidTr="001272E3">
        <w:trPr>
          <w:trHeight w:val="510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统 计 指 标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统计数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一、主动公开情况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C7D" w:rsidTr="001272E3">
        <w:trPr>
          <w:trHeight w:val="84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（一）主动公开政府信息数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（不同渠道和方式公开相同信息计1条）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其中：主动公开规范性文件数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制发规范文件性文件总数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（二）通过不同渠道和方式公开政府信息的情况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1.政府公报公开政府信息数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2.政府网站公开政府信息数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529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3.政务微博公开政府信息数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4.政务微信公开政府信息数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5.其他方式公开政府信息数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二、回应解读情况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C7D" w:rsidTr="001272E3">
        <w:trPr>
          <w:trHeight w:val="84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（一）回应公众关注热点或重大舆情数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（不同方式回应同一热点或舆情计1次）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（二）通过不同渠道和方式回应解读的情况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1.参加或举办新闻发布会总次数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2.政府网站在线访谈次数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其中：主要负责同志参加政府网站在线访谈次数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 xml:space="preserve">      3.政策解读稿件发布数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4.微博微信回应事件数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10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5.其他方式回应事件数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</w:tbl>
    <w:p w:rsidR="00FB5C7D" w:rsidRDefault="00FB5C7D" w:rsidP="00FB5C7D">
      <w:pPr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int="eastAsia"/>
        </w:rPr>
        <w:t xml:space="preserve">  </w:t>
      </w:r>
    </w:p>
    <w:tbl>
      <w:tblPr>
        <w:tblW w:w="0" w:type="auto"/>
        <w:tblInd w:w="93" w:type="dxa"/>
        <w:tblLayout w:type="fixed"/>
        <w:tblLook w:val="0000"/>
      </w:tblPr>
      <w:tblGrid>
        <w:gridCol w:w="6732"/>
        <w:gridCol w:w="491"/>
        <w:gridCol w:w="1612"/>
      </w:tblGrid>
      <w:tr w:rsidR="00FB5C7D" w:rsidTr="001272E3">
        <w:trPr>
          <w:trHeight w:val="55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三、依申请公开情况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（一）收到申请数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1.当面申请数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2.传真申请数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3.网络申请数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4.信函申请数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（二）申请办结数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1.按时办结数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2.延期办结数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（三）申请答复数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1.属于已主动公开范围数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2.同意公开答复数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3.同意部分公开答复数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4.不同意公开答复数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其中：涉及国家秘密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涉及商业秘密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涉及个人隐私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29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危及国家安全、公共安全、经济安全和社会稳定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29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 xml:space="preserve">            不是《条例》所指政府信息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29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法律法规规定的其他情形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5.不属于本行政机关公开数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6.申请信息不存在数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7.告知作出更改补充数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50"/>
        </w:trPr>
        <w:tc>
          <w:tcPr>
            <w:tcW w:w="6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8.告知通过其他途径办理数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</w:tbl>
    <w:p w:rsidR="00FB5C7D" w:rsidRDefault="00FB5C7D" w:rsidP="00FB5C7D">
      <w:pPr>
        <w:widowControl/>
        <w:shd w:val="clear" w:color="auto" w:fill="FBFFFF"/>
        <w:spacing w:line="360" w:lineRule="atLeast"/>
        <w:ind w:firstLine="480"/>
        <w:rPr>
          <w:rFonts w:ascii="仿宋_GB2312" w:eastAsia="仿宋_GB2312" w:hAnsi="宋体" w:hint="eastAsia"/>
          <w:color w:val="071214"/>
          <w:kern w:val="0"/>
          <w:sz w:val="30"/>
          <w:szCs w:val="30"/>
          <w:shd w:val="clear" w:color="auto" w:fill="FFFFFF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6872"/>
        <w:gridCol w:w="501"/>
        <w:gridCol w:w="1483"/>
      </w:tblGrid>
      <w:tr w:rsidR="00FB5C7D" w:rsidTr="001272E3">
        <w:trPr>
          <w:trHeight w:val="591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四、行政复议数量</w:t>
            </w:r>
            <w:r>
              <w:rPr>
                <w:rFonts w:ascii="Arial" w:eastAsia="黑体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（一）维持具体行政行为数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（二）被依法纠错数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782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（三）其他情形数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五、行政诉讼数量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（一）维持具体行政行为或者驳回原告诉讼请求数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（二）被依法纠错数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（三）其他情形数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六、举报投诉数量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七、依申请公开信息收取的费用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八、机构建设和保障经费情况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（一）政府信息公开工作专门机构数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（二）设置政府信息公开查阅点数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（三）从事政府信息公开工作人员数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1.专职人员数（不包括政府公报及政府网站工作人员数）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2.兼职人数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FB5C7D" w:rsidTr="001272E3">
        <w:trPr>
          <w:trHeight w:val="83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九、政府信息公开会议和培训情况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（一）召开政府信息公开工作会议或专题会议数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（二）举办各类培训班数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  <w:tr w:rsidR="00FB5C7D" w:rsidTr="001272E3">
        <w:trPr>
          <w:trHeight w:val="591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（三）接受培训人员数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C7D" w:rsidRDefault="00FB5C7D" w:rsidP="001272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</w:tr>
    </w:tbl>
    <w:p w:rsidR="00FB5C7D" w:rsidRDefault="00FB5C7D" w:rsidP="00FB5C7D">
      <w:pPr>
        <w:widowControl/>
        <w:shd w:val="clear" w:color="auto" w:fill="FBFFFF"/>
        <w:spacing w:line="360" w:lineRule="atLeast"/>
        <w:rPr>
          <w:rFonts w:ascii="仿宋_GB2312" w:eastAsia="仿宋_GB2312" w:hAnsi="宋体" w:hint="eastAsia"/>
          <w:color w:val="071214"/>
          <w:kern w:val="0"/>
          <w:sz w:val="30"/>
          <w:szCs w:val="30"/>
          <w:shd w:val="clear" w:color="auto" w:fill="FFFFFF"/>
        </w:rPr>
      </w:pPr>
    </w:p>
    <w:p w:rsidR="00F97F2A" w:rsidRDefault="00F97F2A"/>
    <w:sectPr w:rsidR="00F97F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2A" w:rsidRDefault="00F97F2A" w:rsidP="00FB5C7D">
      <w:r>
        <w:separator/>
      </w:r>
    </w:p>
  </w:endnote>
  <w:endnote w:type="continuationSeparator" w:id="1">
    <w:p w:rsidR="00F97F2A" w:rsidRDefault="00F97F2A" w:rsidP="00FB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2A" w:rsidRDefault="00F97F2A" w:rsidP="00FB5C7D">
      <w:r>
        <w:separator/>
      </w:r>
    </w:p>
  </w:footnote>
  <w:footnote w:type="continuationSeparator" w:id="1">
    <w:p w:rsidR="00F97F2A" w:rsidRDefault="00F97F2A" w:rsidP="00FB5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C7D"/>
    <w:rsid w:val="00F97F2A"/>
    <w:rsid w:val="00FB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C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C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C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1318</Characters>
  <Application>Microsoft Office Word</Application>
  <DocSecurity>0</DocSecurity>
  <Lines>10</Lines>
  <Paragraphs>3</Paragraphs>
  <ScaleCrop>false</ScaleCrop>
  <Company>China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2015-03-27T13:12:00Z</dcterms:created>
  <dcterms:modified xsi:type="dcterms:W3CDTF">2015-03-27T13:12:00Z</dcterms:modified>
</cp:coreProperties>
</file>