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贵州省国资委系统混合所有制改革</w:t>
      </w:r>
    </w:p>
    <w:p>
      <w:pPr>
        <w:widowControl/>
        <w:spacing w:line="560" w:lineRule="exact"/>
        <w:jc w:val="center"/>
        <w:rPr>
          <w:rFonts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招商引资项目</w:t>
      </w:r>
    </w:p>
    <w:p>
      <w:pPr>
        <w:rPr>
          <w:rFonts w:hint="eastAsia" w:ascii="仿宋_GB2312" w:hAnsi="仿宋_GB2312" w:eastAsia="仿宋_GB2312" w:cs="仿宋_GB2312"/>
          <w:b/>
          <w:bCs/>
          <w:sz w:val="32"/>
          <w:szCs w:val="32"/>
          <w:lang w:val="en-US" w:eastAsia="zh-CN"/>
        </w:rPr>
      </w:pPr>
    </w:p>
    <w:p>
      <w:pPr>
        <w:numPr>
          <w:ilvl w:val="0"/>
          <w:numId w:val="0"/>
        </w:numPr>
        <w:ind w:firstLine="640" w:firstLineChars="200"/>
        <w:rPr>
          <w:rFonts w:hint="eastAsia" w:ascii="黑体" w:hAnsi="黑体" w:eastAsia="黑体" w:cs="方正仿宋_GB2312"/>
          <w:color w:val="000000"/>
          <w:kern w:val="0"/>
          <w:sz w:val="32"/>
          <w:szCs w:val="32"/>
          <w:lang w:val="en-US" w:eastAsia="zh-CN" w:bidi="ar"/>
        </w:rPr>
      </w:pPr>
      <w:r>
        <w:rPr>
          <w:rFonts w:hint="eastAsia" w:ascii="黑体" w:hAnsi="黑体" w:eastAsia="黑体" w:cs="方正仿宋_GB2312"/>
          <w:color w:val="000000"/>
          <w:kern w:val="0"/>
          <w:sz w:val="32"/>
          <w:szCs w:val="32"/>
          <w:lang w:val="en-US" w:eastAsia="zh-CN" w:bidi="ar"/>
        </w:rPr>
        <w:t>一、公司名称</w:t>
      </w:r>
    </w:p>
    <w:p>
      <w:pPr>
        <w:numPr>
          <w:ilvl w:val="0"/>
          <w:numId w:val="0"/>
        </w:numPr>
        <w:ind w:firstLine="640" w:firstLineChars="200"/>
        <w:rPr>
          <w:rFonts w:hint="eastAsia" w:ascii="仿宋_GB2312" w:hAnsi="方正仿宋_GB2312" w:eastAsia="仿宋_GB2312" w:cs="方正仿宋_GB2312"/>
          <w:color w:val="000000"/>
          <w:kern w:val="0"/>
          <w:sz w:val="32"/>
          <w:szCs w:val="32"/>
          <w:lang w:val="en-US" w:eastAsia="zh-CN" w:bidi="ar"/>
        </w:rPr>
      </w:pPr>
      <w:r>
        <w:rPr>
          <w:rFonts w:hint="eastAsia" w:ascii="仿宋_GB2312" w:hAnsi="方正仿宋_GB2312" w:eastAsia="仿宋_GB2312" w:cs="方正仿宋_GB2312"/>
          <w:color w:val="000000"/>
          <w:kern w:val="0"/>
          <w:sz w:val="32"/>
          <w:szCs w:val="32"/>
          <w:lang w:val="en-US" w:eastAsia="zh-CN" w:bidi="ar"/>
        </w:rPr>
        <w:t>贵州省物资开发投资有限责任公司</w:t>
      </w:r>
    </w:p>
    <w:p>
      <w:pPr>
        <w:numPr>
          <w:ilvl w:val="0"/>
          <w:numId w:val="0"/>
        </w:numPr>
        <w:ind w:leftChars="0" w:firstLine="640" w:firstLineChars="200"/>
        <w:rPr>
          <w:rFonts w:hint="eastAsia" w:ascii="黑体" w:hAnsi="黑体" w:eastAsia="黑体" w:cs="方正仿宋_GB2312"/>
          <w:color w:val="000000"/>
          <w:kern w:val="0"/>
          <w:sz w:val="32"/>
          <w:szCs w:val="32"/>
          <w:lang w:val="en-US" w:eastAsia="zh-CN" w:bidi="ar"/>
        </w:rPr>
      </w:pPr>
      <w:r>
        <w:rPr>
          <w:rFonts w:hint="eastAsia" w:ascii="黑体" w:hAnsi="黑体" w:eastAsia="黑体" w:cs="方正仿宋_GB2312"/>
          <w:color w:val="000000"/>
          <w:kern w:val="0"/>
          <w:sz w:val="32"/>
          <w:szCs w:val="32"/>
          <w:lang w:val="en-US" w:eastAsia="zh-CN" w:bidi="ar"/>
        </w:rPr>
        <w:t>二、合作方式</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增资扩股</w:t>
      </w:r>
    </w:p>
    <w:p>
      <w:pPr>
        <w:numPr>
          <w:ilvl w:val="0"/>
          <w:numId w:val="0"/>
        </w:numPr>
        <w:ind w:leftChars="0" w:firstLine="640" w:firstLineChars="200"/>
        <w:rPr>
          <w:rFonts w:hint="eastAsia" w:ascii="黑体" w:hAnsi="黑体" w:eastAsia="黑体" w:cs="方正仿宋_GB2312"/>
          <w:color w:val="000000"/>
          <w:kern w:val="0"/>
          <w:sz w:val="32"/>
          <w:szCs w:val="32"/>
          <w:lang w:val="en-US" w:eastAsia="zh-CN" w:bidi="ar"/>
        </w:rPr>
      </w:pPr>
      <w:r>
        <w:rPr>
          <w:rFonts w:hint="eastAsia" w:ascii="黑体" w:hAnsi="黑体" w:eastAsia="黑体" w:cs="方正仿宋_GB2312"/>
          <w:color w:val="000000"/>
          <w:kern w:val="0"/>
          <w:sz w:val="32"/>
          <w:szCs w:val="32"/>
          <w:lang w:val="en-US" w:eastAsia="zh-CN" w:bidi="ar"/>
        </w:rPr>
        <w:t>三、公司情况</w:t>
      </w:r>
    </w:p>
    <w:p>
      <w:pPr>
        <w:numPr>
          <w:ilvl w:val="0"/>
          <w:numId w:val="0"/>
        </w:numPr>
        <w:ind w:leftChars="0" w:firstLine="643" w:firstLineChars="200"/>
        <w:rPr>
          <w:rFonts w:hint="eastAsia" w:ascii="楷体" w:hAnsi="楷体" w:eastAsia="楷体" w:cs="Times New Roman"/>
          <w:b/>
          <w:bCs/>
          <w:color w:val="000000"/>
          <w:kern w:val="0"/>
          <w:sz w:val="32"/>
          <w:szCs w:val="32"/>
          <w:lang w:val="en-US" w:eastAsia="zh-CN" w:bidi="zh-CN"/>
        </w:rPr>
      </w:pPr>
      <w:r>
        <w:rPr>
          <w:rFonts w:hint="eastAsia" w:ascii="楷体" w:hAnsi="楷体" w:eastAsia="楷体" w:cs="Times New Roman"/>
          <w:b/>
          <w:bCs/>
          <w:color w:val="000000"/>
          <w:kern w:val="0"/>
          <w:sz w:val="32"/>
          <w:szCs w:val="32"/>
          <w:lang w:val="en-US" w:eastAsia="zh-CN" w:bidi="zh-CN"/>
        </w:rPr>
        <w:t>(一）公司基本情况：</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贵州省物资开发投资有限责任公司是一家以传统大宗物资贸易为基础主业，物流仓储为核心业务，投资、房产租赁等为辅的综合性供应链管理服务公司，主要从事供应链集成服务、大宗商品贸易等业务。</w:t>
      </w:r>
    </w:p>
    <w:p>
      <w:pPr>
        <w:keepNext w:val="0"/>
        <w:keepLines w:val="0"/>
        <w:pageBreakBefore w:val="0"/>
        <w:kinsoku/>
        <w:overflowPunct/>
        <w:topLinePunct w:val="0"/>
        <w:autoSpaceDE w:val="0"/>
        <w:autoSpaceDN w:val="0"/>
        <w:bidi w:val="0"/>
        <w:adjustRightInd/>
        <w:snapToGrid/>
        <w:spacing w:line="560" w:lineRule="exact"/>
        <w:ind w:firstLine="643" w:firstLineChars="200"/>
        <w:textAlignment w:val="auto"/>
        <w:rPr>
          <w:rFonts w:hint="eastAsia" w:ascii="Times New Roman" w:hAnsi="Times New Roman" w:eastAsia="仿宋_GB2312" w:cs="Times New Roman"/>
          <w:bCs/>
          <w:color w:val="000000"/>
          <w:kern w:val="0"/>
          <w:sz w:val="32"/>
          <w:szCs w:val="32"/>
          <w:lang w:bidi="zh-CN"/>
        </w:rPr>
      </w:pPr>
      <w:r>
        <w:rPr>
          <w:rFonts w:ascii="楷体" w:hAnsi="楷体" w:eastAsia="楷体" w:cs="Times New Roman"/>
          <w:b/>
          <w:bCs/>
          <w:color w:val="000000"/>
          <w:kern w:val="0"/>
          <w:sz w:val="32"/>
          <w:szCs w:val="32"/>
          <w:lang w:bidi="zh-CN"/>
        </w:rPr>
        <w:t>（二）公司主营业务</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公司保持良好的发展势头，2020年度实现营业收入97.04亿元，同比增长17.24%；实现利润总额1.04亿元，同比增长14.29%。主营业务情况如下：</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1、在大宗商品（电解铝、铜、锌精矿等）贸易方面，公司通过预付货款方式为客商提供供应链上的金融服务，应得利润在上下游贸易差价中体现。</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2、在合成化工产品贸易方面，同样为客商提供供应链上的金融服务。</w:t>
      </w:r>
    </w:p>
    <w:p>
      <w:pPr>
        <w:keepNext w:val="0"/>
        <w:keepLines w:val="0"/>
        <w:pageBreakBefore w:val="0"/>
        <w:kinsoku/>
        <w:overflowPunct/>
        <w:topLinePunct w:val="0"/>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3、积极参与钢材贸易业务，计划未来通过数字信息化工作整合客商资源，为公司和客商降本增效。</w:t>
      </w:r>
    </w:p>
    <w:p>
      <w:pPr>
        <w:ind w:firstLine="643" w:firstLineChars="200"/>
        <w:rPr>
          <w:rFonts w:hint="eastAsia" w:ascii="楷体" w:hAnsi="楷体" w:eastAsia="楷体" w:cs="Times New Roman"/>
          <w:b/>
          <w:bCs/>
          <w:color w:val="000000"/>
          <w:kern w:val="0"/>
          <w:sz w:val="32"/>
          <w:szCs w:val="32"/>
          <w:lang w:val="en-US" w:eastAsia="zh-CN" w:bidi="zh-CN"/>
        </w:rPr>
      </w:pPr>
      <w:r>
        <w:rPr>
          <w:rFonts w:hint="eastAsia" w:ascii="楷体" w:hAnsi="楷体" w:eastAsia="楷体" w:cs="Times New Roman"/>
          <w:b/>
          <w:bCs/>
          <w:color w:val="000000"/>
          <w:kern w:val="0"/>
          <w:sz w:val="32"/>
          <w:szCs w:val="32"/>
          <w:lang w:val="en-US" w:eastAsia="zh-CN" w:bidi="zh-CN"/>
        </w:rPr>
        <w:t>（三）下步发展规划</w:t>
      </w:r>
    </w:p>
    <w:p>
      <w:pPr>
        <w:keepNext w:val="0"/>
        <w:keepLines w:val="0"/>
        <w:pageBreakBefore w:val="0"/>
        <w:kinsoku/>
        <w:overflowPunct/>
        <w:topLinePunct w:val="0"/>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公司原为贵州省现代物流（产业）集团有限责任公司全资子公司，因公司上市规划需要，引入战略投资者“贵州省黔晟国有资本运营有限公司”及“中央企业贫困地区产业投资基金股份有限公司”，现准备启动B轮引战混改后进行股改，并在股改和公司整改完成后，报贵州证监局辅导并报送中国证监会审批，以“大宗商品贸易”加“仓储物流运输”为双主业，申请登陆A股主板。</w:t>
      </w:r>
    </w:p>
    <w:p>
      <w:pPr>
        <w:ind w:firstLine="643" w:firstLineChars="200"/>
        <w:rPr>
          <w:rFonts w:hint="eastAsia" w:ascii="楷体" w:hAnsi="楷体" w:eastAsia="楷体" w:cs="Times New Roman"/>
          <w:b/>
          <w:bCs/>
          <w:color w:val="000000"/>
          <w:kern w:val="0"/>
          <w:sz w:val="32"/>
          <w:szCs w:val="32"/>
          <w:lang w:val="en-US" w:eastAsia="zh-CN" w:bidi="zh-CN"/>
        </w:rPr>
      </w:pPr>
      <w:r>
        <w:rPr>
          <w:rFonts w:hint="eastAsia" w:ascii="楷体" w:hAnsi="楷体" w:eastAsia="楷体" w:cs="Times New Roman"/>
          <w:b/>
          <w:bCs/>
          <w:color w:val="000000"/>
          <w:kern w:val="0"/>
          <w:sz w:val="32"/>
          <w:szCs w:val="32"/>
          <w:lang w:val="en-US" w:eastAsia="zh-CN" w:bidi="zh-CN"/>
        </w:rPr>
        <w:t>（四）行业发展分析</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国家“十四五”规划明确提出，要依托强大国内市场，贯通生产、分配、流通、消费各环节，形成需求牵引供给、供给创造需求的更高水平动态平衡，促进国民经济良性循环。</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在国家“十四五”规划第十二章提到强化流通体系支撑作用。深化流通体制改革，畅通商品服务流通渠道，提升流通效率，降低全社会交易成本。建设现代物流体系，加快发展冷链物流，统筹物流枢纽设施、骨干线路、区域分拨中心和末端配送节点建设，完善国家物流枢纽、骨干冷链物流基地设施条件，健全县乡村三级物流配送体系，培育一批具有全球竞争力的现代流通企业，加强商贸流通标准化建设和绿色发展。</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贵州省“十四五”规划第二十二章提出加快发展现代物流业。以打造西部现代物流枢纽为目标，加快推动物流基础设施建设，着力提升物流网络化、信息化、标准化水平，加快构建高效、智能、绿色、安全的现代物流体系。</w:t>
      </w:r>
    </w:p>
    <w:p>
      <w:pPr>
        <w:keepNext w:val="0"/>
        <w:keepLines w:val="0"/>
        <w:pageBreakBefore w:val="0"/>
        <w:kinsoku/>
        <w:overflowPunct/>
        <w:topLinePunct w:val="0"/>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国家“十四五”规划与我司所处的大宗商品贸易行业以及供应链集成服务行业息息相关，我司未来发展有望得到“十四五”规划后续细化政策的支持。</w:t>
      </w:r>
    </w:p>
    <w:p>
      <w:pPr>
        <w:keepNext w:val="0"/>
        <w:keepLines w:val="0"/>
        <w:pageBreakBefore w:val="0"/>
        <w:widowControl/>
        <w:kinsoku/>
        <w:overflowPunct/>
        <w:topLinePunct w:val="0"/>
        <w:bidi w:val="0"/>
        <w:adjustRightInd/>
        <w:snapToGrid/>
        <w:spacing w:line="560" w:lineRule="exact"/>
        <w:ind w:firstLine="640" w:firstLineChars="200"/>
        <w:jc w:val="left"/>
        <w:textAlignment w:val="auto"/>
        <w:rPr>
          <w:rFonts w:hint="eastAsia" w:ascii="黑体" w:hAnsi="黑体" w:eastAsia="黑体" w:cs="方正仿宋_GB2312"/>
          <w:color w:val="000000"/>
          <w:kern w:val="0"/>
          <w:sz w:val="32"/>
          <w:szCs w:val="32"/>
          <w:lang w:val="en-US" w:eastAsia="zh-CN" w:bidi="ar"/>
        </w:rPr>
      </w:pPr>
      <w:r>
        <w:rPr>
          <w:rFonts w:hint="eastAsia" w:ascii="黑体" w:hAnsi="黑体" w:eastAsia="黑体" w:cs="方正仿宋_GB2312"/>
          <w:color w:val="000000"/>
          <w:kern w:val="0"/>
          <w:sz w:val="32"/>
          <w:szCs w:val="32"/>
          <w:lang w:val="en-US" w:eastAsia="zh-CN" w:bidi="ar"/>
        </w:rPr>
        <w:t>四、相关说明</w:t>
      </w:r>
    </w:p>
    <w:p>
      <w:pPr>
        <w:keepNext w:val="0"/>
        <w:keepLines w:val="0"/>
        <w:pageBreakBefore w:val="0"/>
        <w:kinsoku/>
        <w:overflowPunct/>
        <w:topLinePunct w:val="0"/>
        <w:autoSpaceDE w:val="0"/>
        <w:autoSpaceDN w:val="0"/>
        <w:bidi w:val="0"/>
        <w:adjustRightInd/>
        <w:snapToGrid/>
        <w:spacing w:line="560" w:lineRule="exact"/>
        <w:ind w:firstLine="643" w:firstLineChars="200"/>
        <w:textAlignment w:val="auto"/>
        <w:rPr>
          <w:rFonts w:hint="eastAsia" w:ascii="楷体" w:hAnsi="楷体" w:eastAsia="楷体" w:cs="Times New Roman"/>
          <w:b/>
          <w:bCs/>
          <w:color w:val="000000"/>
          <w:kern w:val="0"/>
          <w:sz w:val="32"/>
          <w:szCs w:val="32"/>
          <w:lang w:eastAsia="zh-CN" w:bidi="zh-CN"/>
        </w:rPr>
      </w:pPr>
      <w:r>
        <w:rPr>
          <w:rFonts w:hint="eastAsia" w:ascii="楷体" w:hAnsi="楷体" w:eastAsia="楷体" w:cs="Times New Roman"/>
          <w:b/>
          <w:bCs/>
          <w:color w:val="000000"/>
          <w:kern w:val="0"/>
          <w:sz w:val="32"/>
          <w:szCs w:val="32"/>
          <w:lang w:val="en-US" w:eastAsia="zh-CN" w:bidi="zh-CN"/>
        </w:rPr>
        <w:t>（一）</w:t>
      </w:r>
      <w:r>
        <w:rPr>
          <w:rFonts w:hint="eastAsia" w:ascii="楷体" w:hAnsi="楷体" w:eastAsia="楷体" w:cs="Times New Roman"/>
          <w:b/>
          <w:bCs/>
          <w:color w:val="000000"/>
          <w:kern w:val="0"/>
          <w:sz w:val="32"/>
          <w:szCs w:val="32"/>
          <w:lang w:eastAsia="zh-CN" w:bidi="zh-CN"/>
        </w:rPr>
        <w:t>引资需求</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贵州省物资开发投资有限责任公司（以下简称“公司”）B轮引战需引入资金约4亿元，为下一步在资本市场进行IPO,除了资金需求，公司更希望引入能给公司主营业务带来协同效应的战略投资者，共同助力公司发展。</w:t>
      </w:r>
    </w:p>
    <w:p>
      <w:pPr>
        <w:keepNext w:val="0"/>
        <w:keepLines w:val="0"/>
        <w:pageBreakBefore w:val="0"/>
        <w:kinsoku/>
        <w:overflowPunct/>
        <w:topLinePunct w:val="0"/>
        <w:autoSpaceDE w:val="0"/>
        <w:autoSpaceDN w:val="0"/>
        <w:bidi w:val="0"/>
        <w:adjustRightInd/>
        <w:snapToGrid/>
        <w:spacing w:line="560" w:lineRule="exact"/>
        <w:ind w:firstLine="643" w:firstLineChars="200"/>
        <w:textAlignment w:val="auto"/>
        <w:rPr>
          <w:rFonts w:hint="eastAsia" w:ascii="楷体" w:hAnsi="楷体" w:eastAsia="楷体" w:cs="Times New Roman"/>
          <w:b/>
          <w:bCs/>
          <w:color w:val="000000"/>
          <w:kern w:val="0"/>
          <w:sz w:val="32"/>
          <w:szCs w:val="32"/>
          <w:lang w:val="en-US" w:eastAsia="zh-CN" w:bidi="zh-CN"/>
        </w:rPr>
      </w:pPr>
      <w:r>
        <w:rPr>
          <w:rFonts w:hint="eastAsia" w:ascii="楷体" w:hAnsi="楷体" w:eastAsia="楷体" w:cs="Times New Roman"/>
          <w:b/>
          <w:bCs/>
          <w:color w:val="000000"/>
          <w:kern w:val="0"/>
          <w:sz w:val="32"/>
          <w:szCs w:val="32"/>
          <w:lang w:val="en-US" w:eastAsia="zh-CN" w:bidi="zh-CN"/>
        </w:rPr>
        <w:t>（二）股权结构</w:t>
      </w:r>
    </w:p>
    <w:p>
      <w:pPr>
        <w:keepNext w:val="0"/>
        <w:keepLines w:val="0"/>
        <w:pageBreakBefore w:val="0"/>
        <w:kinsoku/>
        <w:overflowPunct/>
        <w:topLinePunct w:val="0"/>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贵州现代物流产业（集团）有限责任公司（75%）、中央企业乡村产业投资基金股份有限公司（20.26%）、贵州省黔晟国有资本运营有限公司（4.74%）。</w:t>
      </w:r>
    </w:p>
    <w:p>
      <w:pPr>
        <w:keepNext w:val="0"/>
        <w:keepLines w:val="0"/>
        <w:pageBreakBefore w:val="0"/>
        <w:kinsoku/>
        <w:overflowPunct/>
        <w:topLinePunct w:val="0"/>
        <w:autoSpaceDE w:val="0"/>
        <w:autoSpaceDN w:val="0"/>
        <w:bidi w:val="0"/>
        <w:adjustRightInd/>
        <w:snapToGrid/>
        <w:spacing w:line="560" w:lineRule="exact"/>
        <w:ind w:firstLine="643" w:firstLineChars="200"/>
        <w:textAlignment w:val="auto"/>
        <w:rPr>
          <w:rFonts w:hint="eastAsia" w:ascii="楷体" w:hAnsi="楷体" w:eastAsia="楷体" w:cs="Times New Roman"/>
          <w:b/>
          <w:bCs/>
          <w:color w:val="000000"/>
          <w:kern w:val="0"/>
          <w:sz w:val="32"/>
          <w:szCs w:val="32"/>
          <w:lang w:val="en-US" w:eastAsia="zh-CN" w:bidi="zh-CN"/>
        </w:rPr>
      </w:pPr>
      <w:r>
        <w:rPr>
          <w:rFonts w:hint="eastAsia" w:ascii="楷体" w:hAnsi="楷体" w:eastAsia="楷体" w:cs="Times New Roman"/>
          <w:b/>
          <w:bCs/>
          <w:color w:val="000000"/>
          <w:kern w:val="0"/>
          <w:sz w:val="32"/>
          <w:szCs w:val="32"/>
          <w:lang w:val="en-US" w:eastAsia="zh-CN" w:bidi="zh-CN"/>
        </w:rPr>
        <w:t>（三）法人治理结构</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eastAsia="zh-CN"/>
        </w:rPr>
        <w:t>根据《省国资委关于贵州省物资集团有限责任公司下属全民所有制企业改制为有限责任公司的批复》（黔国资复改革〔</w:t>
      </w:r>
      <w:r>
        <w:rPr>
          <w:rFonts w:hint="eastAsia" w:ascii="仿宋_GB2312" w:eastAsia="仿宋_GB2312" w:hAnsiTheme="minorHAnsi" w:cstheme="minorBidi"/>
          <w:sz w:val="32"/>
          <w:szCs w:val="32"/>
          <w:lang w:val="en-US" w:eastAsia="zh-CN"/>
        </w:rPr>
        <w:t>2017</w:t>
      </w:r>
      <w:r>
        <w:rPr>
          <w:rFonts w:hint="eastAsia" w:ascii="仿宋_GB2312" w:eastAsia="仿宋_GB2312" w:hAnsiTheme="minorHAnsi" w:cstheme="minorBidi"/>
          <w:sz w:val="32"/>
          <w:szCs w:val="32"/>
          <w:lang w:eastAsia="zh-CN"/>
        </w:rPr>
        <w:t>〕</w:t>
      </w:r>
      <w:r>
        <w:rPr>
          <w:rFonts w:hint="eastAsia" w:ascii="仿宋_GB2312" w:eastAsia="仿宋_GB2312" w:hAnsiTheme="minorHAnsi" w:cstheme="minorBidi"/>
          <w:sz w:val="32"/>
          <w:szCs w:val="32"/>
          <w:lang w:val="en-US" w:eastAsia="zh-CN"/>
        </w:rPr>
        <w:t>113号</w:t>
      </w:r>
      <w:r>
        <w:rPr>
          <w:rFonts w:hint="eastAsia" w:ascii="仿宋_GB2312" w:eastAsia="仿宋_GB2312" w:hAnsiTheme="minorHAnsi" w:cstheme="minorBidi"/>
          <w:sz w:val="32"/>
          <w:szCs w:val="32"/>
          <w:lang w:eastAsia="zh-CN"/>
        </w:rPr>
        <w:t>）及公司控股股东贵州省现代物流（产业）集团有限责任公司《关于贵州省物资集团有限责任公司下属全民所有制企业改制为有限责任公司的批复》（黔物投字〔</w:t>
      </w:r>
      <w:r>
        <w:rPr>
          <w:rFonts w:hint="eastAsia" w:ascii="仿宋_GB2312" w:eastAsia="仿宋_GB2312" w:hAnsiTheme="minorHAnsi" w:cstheme="minorBidi"/>
          <w:sz w:val="32"/>
          <w:szCs w:val="32"/>
          <w:lang w:val="en-US" w:eastAsia="zh-CN"/>
        </w:rPr>
        <w:t>2018</w:t>
      </w:r>
      <w:r>
        <w:rPr>
          <w:rFonts w:hint="eastAsia" w:ascii="仿宋_GB2312" w:eastAsia="仿宋_GB2312" w:hAnsiTheme="minorHAnsi" w:cstheme="minorBidi"/>
          <w:sz w:val="32"/>
          <w:szCs w:val="32"/>
          <w:lang w:eastAsia="zh-CN"/>
        </w:rPr>
        <w:t>〕</w:t>
      </w:r>
      <w:r>
        <w:rPr>
          <w:rFonts w:hint="eastAsia" w:ascii="仿宋_GB2312" w:eastAsia="仿宋_GB2312" w:hAnsiTheme="minorHAnsi" w:cstheme="minorBidi"/>
          <w:sz w:val="32"/>
          <w:szCs w:val="32"/>
          <w:lang w:val="en-US" w:eastAsia="zh-CN"/>
        </w:rPr>
        <w:t>44号</w:t>
      </w:r>
      <w:r>
        <w:rPr>
          <w:rFonts w:hint="eastAsia" w:ascii="仿宋_GB2312" w:eastAsia="仿宋_GB2312" w:hAnsiTheme="minorHAnsi" w:cstheme="minorBidi"/>
          <w:sz w:val="32"/>
          <w:szCs w:val="32"/>
          <w:lang w:eastAsia="zh-CN"/>
        </w:rPr>
        <w:t>），公司已于</w:t>
      </w:r>
      <w:r>
        <w:rPr>
          <w:rFonts w:hint="eastAsia" w:ascii="仿宋_GB2312" w:eastAsia="仿宋_GB2312" w:hAnsiTheme="minorHAnsi" w:cstheme="minorBidi"/>
          <w:sz w:val="32"/>
          <w:szCs w:val="32"/>
          <w:lang w:val="en-US" w:eastAsia="zh-CN"/>
        </w:rPr>
        <w:t>2018年3月完成由全民所有制企业向有限责任公司的改制工作。根据《公司法》相关规定，公司制定了公司章程，建立了以股东会、董事会、监事会、经营管理层为公司运作核心的公司组织架构，健全了三会议事规则，公司目前符合有限责任公司法人治理结构。</w:t>
      </w:r>
    </w:p>
    <w:p>
      <w:pPr>
        <w:keepNext w:val="0"/>
        <w:keepLines w:val="0"/>
        <w:pageBreakBefore w:val="0"/>
        <w:kinsoku/>
        <w:overflowPunct/>
        <w:topLinePunct w:val="0"/>
        <w:autoSpaceDE w:val="0"/>
        <w:autoSpaceDN w:val="0"/>
        <w:bidi w:val="0"/>
        <w:adjustRightInd/>
        <w:snapToGrid/>
        <w:spacing w:line="560" w:lineRule="exact"/>
        <w:ind w:firstLine="643" w:firstLineChars="200"/>
        <w:textAlignment w:val="auto"/>
        <w:rPr>
          <w:rFonts w:hint="eastAsia" w:ascii="楷体" w:hAnsi="楷体" w:eastAsia="楷体" w:cs="Times New Roman"/>
          <w:b/>
          <w:bCs/>
          <w:color w:val="000000"/>
          <w:kern w:val="0"/>
          <w:sz w:val="32"/>
          <w:szCs w:val="32"/>
          <w:lang w:val="en-US" w:eastAsia="zh-CN" w:bidi="zh-CN"/>
        </w:rPr>
      </w:pPr>
      <w:r>
        <w:rPr>
          <w:rFonts w:hint="eastAsia" w:ascii="楷体" w:hAnsi="楷体" w:eastAsia="楷体" w:cs="Times New Roman"/>
          <w:b/>
          <w:bCs/>
          <w:color w:val="000000"/>
          <w:kern w:val="0"/>
          <w:sz w:val="32"/>
          <w:szCs w:val="32"/>
          <w:lang w:val="en-US" w:eastAsia="zh-CN" w:bidi="zh-CN"/>
        </w:rPr>
        <w:t>（四）单位联系方式：</w:t>
      </w:r>
    </w:p>
    <w:p>
      <w:pPr>
        <w:keepNext w:val="0"/>
        <w:keepLines w:val="0"/>
        <w:pageBreakBefore w:val="0"/>
        <w:kinsoku/>
        <w:overflowPunct/>
        <w:topLinePunct w:val="0"/>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联系人：汤晓柯</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电话：0851-85829504</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传真：0851-85829504</w:t>
      </w:r>
    </w:p>
    <w:p>
      <w:pPr>
        <w:keepNext w:val="0"/>
        <w:keepLines w:val="0"/>
        <w:pageBreakBefore w:val="0"/>
        <w:kinsoku/>
        <w:overflowPunct/>
        <w:topLinePunct w:val="0"/>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 xml:space="preserve">手机：18984002939 </w:t>
      </w:r>
    </w:p>
    <w:p>
      <w:pPr>
        <w:keepNext w:val="0"/>
        <w:keepLines w:val="0"/>
        <w:pageBreakBefore w:val="0"/>
        <w:kinsoku/>
        <w:overflowPunct/>
        <w:topLinePunct w:val="0"/>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电子邮箱：ktgsdmb@163.com</w:t>
      </w:r>
    </w:p>
    <w:p>
      <w:pPr>
        <w:ind w:firstLine="640" w:firstLineChars="200"/>
        <w:rPr>
          <w:rFonts w:hint="default" w:ascii="仿宋_GB2312" w:hAnsi="仿宋_GB2312" w:eastAsia="仿宋_GB2312" w:cs="仿宋_GB2312"/>
          <w:sz w:val="32"/>
          <w:szCs w:val="32"/>
          <w:lang w:val="en-US" w:eastAsia="zh-CN"/>
        </w:rPr>
      </w:pPr>
    </w:p>
    <w:p>
      <w:pPr>
        <w:ind w:firstLine="640" w:firstLineChars="200"/>
        <w:jc w:val="center"/>
        <w:rPr>
          <w:rFonts w:hint="default" w:ascii="仿宋_GB2312" w:hAnsi="仿宋_GB2312" w:eastAsia="仿宋_GB2312" w:cs="仿宋_GB2312"/>
          <w:sz w:val="32"/>
          <w:szCs w:val="32"/>
          <w:lang w:val="en-US" w:eastAsia="zh-CN"/>
        </w:rPr>
      </w:pPr>
      <w:r>
        <w:rPr>
          <w:rFonts w:hint="eastAsia" w:ascii="仿宋" w:hAnsi="仿宋" w:eastAsia="仿宋" w:cs="仿宋"/>
          <w:color w:val="000000"/>
          <w:sz w:val="32"/>
          <w:szCs w:val="32"/>
          <w:lang w:val="en-US" w:eastAsia="zh-CN"/>
        </w:rPr>
        <w:t xml:space="preserve">  </w:t>
      </w:r>
      <w:bookmarkStart w:id="0" w:name="_GoBack"/>
      <w:bookmarkEnd w:id="0"/>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uXW5&#10;UtAAAAAFAQAADwAAAAAAAAABACAAAAAiAAAAZHJzL2Rvd25yZXYueG1sUEsBAhQAFAAAAAgAh07i&#10;QAR+Hmm4AQAAUAMAAA4AAAAAAAAAAQAgAAAAHwEAAGRycy9lMm9Eb2MueG1sUEsFBgAAAAAGAAYA&#10;WQEAAEk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137C6"/>
    <w:rsid w:val="3B0079D4"/>
    <w:rsid w:val="5E59615B"/>
    <w:rsid w:val="7D5574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qFormat/>
    <w:uiPriority w:val="0"/>
  </w:style>
  <w:style w:type="table" w:default="1" w:styleId="4">
    <w:name w:val="Normal Table"/>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1445</Words>
  <Characters>1542</Characters>
  <Paragraphs>34</Paragraphs>
  <TotalTime>1</TotalTime>
  <ScaleCrop>false</ScaleCrop>
  <LinksUpToDate>false</LinksUpToDate>
  <CharactersWithSpaces>1574</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2022-05-31T01:25:05Z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1AD9F70A3BEE47DD9E48F8F58CEE3B80</vt:lpwstr>
  </property>
</Properties>
</file>