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贵州省国资委系统混合所有制改革</w:t>
      </w: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招商引资项目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方正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方正仿宋_GB2312"/>
          <w:color w:val="000000"/>
          <w:kern w:val="0"/>
          <w:sz w:val="32"/>
          <w:szCs w:val="32"/>
          <w:lang w:bidi="ar"/>
        </w:rPr>
        <w:t>一、公司名称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  <w:t>贵州黄牛产业集团有限责任公司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方正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方正仿宋_GB2312"/>
          <w:color w:val="000000"/>
          <w:kern w:val="0"/>
          <w:sz w:val="32"/>
          <w:szCs w:val="32"/>
          <w:lang w:bidi="ar"/>
        </w:rPr>
        <w:t>二、合作方式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  <w:t>股权转让、增资扩股、新组建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方正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方正仿宋_GB2312"/>
          <w:color w:val="000000"/>
          <w:kern w:val="0"/>
          <w:sz w:val="32"/>
          <w:szCs w:val="32"/>
          <w:lang w:bidi="ar"/>
        </w:rPr>
        <w:t>三、公司情况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</w:pPr>
      <w:r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（一）公司基本情况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贵州黄牛产业集团有限责任公司（以下简称“黄牛集团”）是在贵州省委、省政府的高度关心与支持下，由贵州省国资委批准成立的混合所有制创新试点集团公司，国有控股51%；是贵州省委、省政府推动全省生态畜牧业发展、助推全省脱贫攻坚进程的重要抓手。黄牛集团于2020年3月30日揭牌成立，注册资本20000万元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黄牛集团致力于构建以“平台引领、统筹资源、加工提升、外联销售、配套物流”为核心的贵州黄牛产业链生态体系，推动贵州黄牛养殖、屠宰、加工、销售、物流等环节有机衔接，切实降低产业链综合运营成本，努力把贵州打造成富有地域特色的优质牛肉供应基地。首先，公司通过集聚各方优质资源，为广大消费者提供优质黄牛产品，创建“贵州黄牛一一中国和牛”的“1+N+X”品牌体系，切实推动贵州黄牛产品走向中高端市场。其次，公司积极优化利益联结机制，带动上游贫困户发展饲草种植和黄牛养殖，通过产业扶贫帮助农民脱贫致富，助推全省脱贫攻坚和乡村振兴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720"/>
        <w:textAlignment w:val="auto"/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经营范围：黄牛肉及副产品的分割、冷冻、销售；预包装食品（含冷冻冷藏食品）生产、储藏、销售；调味品、熟食加工、销售；牛养殖育肥；牛屠宰加工；饲草种植；饲草、饲料销售；农产品种植、销售；餐饮管理、餐饮服务；农副产品收购、销售；农业综合开发；农业科技领域内的技术研发、技术咨询、技术转让、技术服务；养殖技术咨询、技术服务；农产品加工、配送及销售；农产品进出口贸易；冷链运输；特色农产品产地认证和标准化服务；信息系统和数据服务；品牌管理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</w:pPr>
      <w:r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（二）公司主营业务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黄牛集团主要从事饲草种草、肉牛繁育、肉牛养殖、肉牛屠宰、牛肉制品加工及销售等肉牛全产业链的经营。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截止2021年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bidi="zh-CN"/>
        </w:rPr>
        <w:t>6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月，黄牛集团有11家子公司、1家分公司，遍布全省各地。其中：在关岭、德江、黔西、六枝、思南、威宁、黄平、凤冈、习水等县区组建了9家SPV公司，负责饲草种植和肉牛养殖。此外，整合省内外畜牧兽医技术人才和省市县专家队伍资源，成立了1家科技服务公司，为各区县SPV公司、养殖合作社及养牛小区提供从饲草料配方设计、饲草料加工、肉牛引种、繁育、饲养、育肥出栏全过程的社会化、专业化、精准化服务。最后，黄牛集团分别在大方、关岭成立了大方食品加工公司、关岭分公司，负责肉牛屠宰、分割加工、牛肉产品深加工、进出口贸易经销等业务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720"/>
        <w:textAlignment w:val="auto"/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截止2021年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bidi="zh-CN"/>
        </w:rPr>
        <w:t>6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月，黄牛集团现通过自建、联营、租赁等方式控制养殖场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bidi="zh-CN"/>
        </w:rPr>
        <w:t>47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个，充分运用“分户饲养、围栏轮牧+舍饲、集中舍饲”方式，总控制牛只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bidi="zh-CN"/>
        </w:rPr>
        <w:t>32564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余头。计划在2021年全年控制能繁母牛10万头，新建、收购或联营等方式控制年出栏500头以上育肥场100个，销售肉牛5万头以上、销售金额10亿元以上。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</w:pPr>
      <w:r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（三）下步发展规划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“十四五”时期，黄牛集团将牢固树立和贯彻落实创新、协调、绿色、开放、共享的发展理念，围绕打造“贵州黄牛—中国的和牛”的总目标，积极构建贵州黄牛全产业链生态体系，聚焦良种繁育、饲草料种植与加工、养殖育肥、屠宰加工、牛肉销售、品牌创建等产业链各环节，把疫病防控、信息化、围栏轮牧、三产融合、环境保护贯穿始终，构建具有贵州特色的贵州黄牛全产业链生态体系，打造引领全省黄牛养殖、屠宰加工、产品销售于一体的全产业链平台，努力把贵州打造成富有特色的全国优质牛肉供应基地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到2022年，初步完成核心技术团队建设，打造专业化肉牛育肥养殖管理技术团队，完善规模化育肥标准体系，不断复制规模化肉牛育肥基地，在全省范围内实现育肥牛存栏规模化发展，成为西南地区规模领先的肉牛养殖企业；带动上游贫困户发展肉牛养殖和饲草种植，促进农户增收和脱贫致富，持续巩固全省脱贫攻坚成果，促进乡村振兴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到2025年，</w:t>
      </w:r>
      <w:r>
        <w:rPr>
          <w:rFonts w:hint="eastAsia" w:ascii="仿宋_GB2312" w:eastAsia="仿宋_GB2312" w:hAnsiTheme="minorEastAsia"/>
          <w:sz w:val="32"/>
          <w:szCs w:val="32"/>
        </w:rPr>
        <w:t>控制能繁母牛50万头，年出栏肉牛不少于30万头，培养出500个专业合作社，带动50万户老百姓增收致富，</w:t>
      </w:r>
      <w:r>
        <w:rPr>
          <w:rFonts w:hint="eastAsia" w:ascii="仿宋_GB2312" w:eastAsia="仿宋_GB2312"/>
          <w:sz w:val="32"/>
          <w:szCs w:val="32"/>
        </w:rPr>
        <w:t>实现对贵州肉牛产业核心环节的深度布局。利用每年庞大育肥牛出栏规模，进一步扩大肉牛屠宰、牛肉销售及肉制品深加工业务，力争年收入突破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0亿元，为广大消费者提供优质牛肉产品，实现</w:t>
      </w:r>
      <w:r>
        <w:rPr>
          <w:rFonts w:hint="eastAsia" w:ascii="仿宋_GB2312" w:eastAsia="仿宋_GB2312" w:hAnsiTheme="minorEastAsia"/>
          <w:sz w:val="32"/>
          <w:szCs w:val="32"/>
        </w:rPr>
        <w:t>“让全国人民吃上最好的牛肉”的总愿景，</w:t>
      </w:r>
      <w:r>
        <w:rPr>
          <w:rFonts w:hint="eastAsia" w:ascii="仿宋_GB2312" w:eastAsia="仿宋_GB2312"/>
          <w:sz w:val="32"/>
          <w:szCs w:val="32"/>
        </w:rPr>
        <w:t>创建“贵州黄牛--中国和牛”品牌，努力打造中国肉牛行业知名企业。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方正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方正仿宋_GB2312"/>
          <w:color w:val="000000"/>
          <w:kern w:val="0"/>
          <w:sz w:val="32"/>
          <w:szCs w:val="32"/>
          <w:lang w:bidi="ar"/>
        </w:rPr>
        <w:t>四、相关说明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</w:pPr>
      <w:r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（一）</w:t>
      </w: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引资需求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一是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通过</w:t>
      </w:r>
      <w:r>
        <w:rPr>
          <w:rFonts w:hint="eastAsia"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  <w:t>增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资扩股、</w:t>
      </w:r>
      <w:r>
        <w:rPr>
          <w:rFonts w:hint="eastAsia"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  <w:t>股权转让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等方式，引进致力于推进贵州肉牛产业发展、共享产业发展红利的战略投资者，短期引资1-3亿元，长期引资10亿元左右。</w:t>
      </w:r>
      <w:r>
        <w:rPr>
          <w:rFonts w:hint="eastAsia" w:ascii="楷体" w:hAnsi="楷体" w:eastAsia="楷体" w:cs="方正仿宋_GB2312"/>
          <w:b/>
          <w:sz w:val="32"/>
          <w:szCs w:val="32"/>
        </w:rPr>
        <w:t>二是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通过合资组建公司或业务合作等方式，在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饲草种草、肉牛养殖、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肉牛屠宰、牛肉制品加工及销售等环节深入合作。</w:t>
      </w:r>
      <w:r>
        <w:rPr>
          <w:rFonts w:hint="eastAsia" w:ascii="楷体" w:hAnsi="楷体" w:eastAsia="楷体" w:cs="方正仿宋_GB2312"/>
          <w:b/>
          <w:sz w:val="32"/>
          <w:szCs w:val="32"/>
        </w:rPr>
        <w:t>三是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广泛寻求合作伙伴。一方面，黄牛集团可与拥有专业养殖经验和技术的团队或个人，通过联营、供应链金融等方式，在育种、育肥、养殖等方面进行合作经营。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bidi="zh-CN"/>
        </w:rPr>
        <w:t>另一方面，黄牛集团在全国广泛寻求优质、性价比较高的饲草料供应商，建立长期业务合作。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zh-CN"/>
        </w:rPr>
        <w:t>最后，黄牛集团广泛寻求营销合伙人、经销商及品牌运营商，共同推进贵州肉牛营销和品牌创建。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</w:pPr>
      <w:r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（二）</w:t>
      </w: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股权结构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方正仿宋_GB2312" w:eastAsia="仿宋_GB2312" w:cs="方正仿宋_GB2312"/>
          <w:sz w:val="32"/>
          <w:szCs w:val="32"/>
        </w:rPr>
        <w:t>黄牛集团注册资本20000万元，目前股东有贵州现代物流产业（集团）有限责任公司</w:t>
      </w:r>
      <w:r>
        <w:rPr>
          <w:rFonts w:hint="eastAsia" w:ascii="仿宋_GB2312" w:hAnsi="方正仿宋_GB2312" w:eastAsia="仿宋_GB2312" w:cs="方正仿宋_GB2312"/>
          <w:sz w:val="32"/>
          <w:szCs w:val="32"/>
          <w:lang w:eastAsia="zh-CN"/>
        </w:rPr>
        <w:t>（</w:t>
      </w:r>
      <w:r>
        <w:rPr>
          <w:rFonts w:hint="eastAsia" w:ascii="仿宋_GB2312" w:hAnsi="方正仿宋_GB2312" w:eastAsia="仿宋_GB2312" w:cs="方正仿宋_GB2312"/>
          <w:sz w:val="32"/>
          <w:szCs w:val="32"/>
          <w:lang w:val="en-US" w:eastAsia="zh-CN"/>
        </w:rPr>
        <w:t>以下简称“物流集团”</w:t>
      </w:r>
      <w:r>
        <w:rPr>
          <w:rFonts w:hint="eastAsia" w:ascii="仿宋_GB2312" w:hAnsi="方正仿宋_GB2312" w:eastAsia="仿宋_GB2312" w:cs="方正仿宋_GB2312"/>
          <w:sz w:val="32"/>
          <w:szCs w:val="32"/>
          <w:lang w:eastAsia="zh-CN"/>
        </w:rPr>
        <w:t>）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、贵州羊鼎黄牛农业发展有限公司</w:t>
      </w:r>
      <w:r>
        <w:rPr>
          <w:rFonts w:hint="eastAsia" w:ascii="仿宋_GB2312" w:hAnsi="方正仿宋_GB2312" w:eastAsia="仿宋_GB2312" w:cs="方正仿宋_GB2312"/>
          <w:sz w:val="32"/>
          <w:szCs w:val="32"/>
          <w:lang w:eastAsia="zh-CN"/>
        </w:rPr>
        <w:t>（</w:t>
      </w:r>
      <w:r>
        <w:rPr>
          <w:rFonts w:hint="eastAsia" w:ascii="仿宋_GB2312" w:hAnsi="方正仿宋_GB2312" w:eastAsia="仿宋_GB2312" w:cs="方正仿宋_GB2312"/>
          <w:sz w:val="32"/>
          <w:szCs w:val="32"/>
          <w:lang w:val="en-US" w:eastAsia="zh-CN"/>
        </w:rPr>
        <w:t>以下简称“羊鼎公司”</w:t>
      </w:r>
      <w:r>
        <w:rPr>
          <w:rFonts w:hint="eastAsia" w:ascii="仿宋_GB2312" w:hAnsi="方正仿宋_GB2312" w:eastAsia="仿宋_GB2312" w:cs="方正仿宋_GB2312"/>
          <w:sz w:val="32"/>
          <w:szCs w:val="32"/>
          <w:lang w:eastAsia="zh-CN"/>
        </w:rPr>
        <w:t>）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，其中：物流集团占股51%，羊鼎公司占股49%。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</w:pPr>
      <w:r>
        <w:rPr>
          <w:rFonts w:ascii="仿宋_GB2312" w:hAnsi="方正仿宋_GB2312" w:eastAsia="仿宋_GB2312" w:cs="方正仿宋_GB2312"/>
          <w:sz w:val="32"/>
          <w:szCs w:val="32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-284480</wp:posOffset>
            </wp:positionH>
            <wp:positionV relativeFrom="paragraph">
              <wp:posOffset>695960</wp:posOffset>
            </wp:positionV>
            <wp:extent cx="6219190" cy="4367530"/>
            <wp:effectExtent l="0" t="0" r="10160" b="13970"/>
            <wp:wrapTopAndBottom/>
            <wp:docPr id="3" name="图片 3" descr="C:\Users\Lenovo\Desktop\50210e3ebb49df3a92d0babe916f7af.png50210e3ebb49df3a92d0babe916f7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Lenovo\Desktop\50210e3ebb49df3a92d0babe916f7af.png50210e3ebb49df3a92d0babe916f7a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9190" cy="436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（三）</w:t>
      </w: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法人治理结构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</w:pPr>
      <w:r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（四）</w:t>
      </w: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  <w:lang w:bidi="zh-CN"/>
        </w:rPr>
        <w:t>单位联系方式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方正仿宋_GB2312" w:eastAsia="仿宋_GB2312" w:cs="方正仿宋_GB2312"/>
          <w:sz w:val="32"/>
          <w:szCs w:val="32"/>
        </w:rPr>
      </w:pPr>
      <w:r>
        <w:rPr>
          <w:rFonts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  <w:t>规划投资部，曹坚，</w:t>
      </w:r>
      <w:r>
        <w:rPr>
          <w:rFonts w:hint="eastAsia"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  <w:t>15010969223，346212462@q</w:t>
      </w:r>
      <w:r>
        <w:rPr>
          <w:rFonts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  <w:t>q</w:t>
      </w:r>
      <w:r>
        <w:rPr>
          <w:rFonts w:hint="eastAsia" w:ascii="仿宋_GB2312" w:hAnsi="方正仿宋_GB2312" w:eastAsia="仿宋_GB2312" w:cs="方正仿宋_GB2312"/>
          <w:color w:val="000000"/>
          <w:kern w:val="0"/>
          <w:sz w:val="32"/>
          <w:szCs w:val="32"/>
          <w:lang w:bidi="ar"/>
        </w:rPr>
        <w:t>.com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方正小标宋简体" w:eastAsia="仿宋_GB2312" w:cs="方正小标宋简体"/>
          <w:color w:val="000000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方正小标宋简体" w:eastAsia="仿宋_GB2312" w:cs="方正小标宋简体"/>
          <w:color w:val="000000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</w:t>
      </w:r>
      <w:bookmarkStart w:id="0" w:name="_GoBack"/>
      <w:bookmarkEnd w:id="0"/>
    </w:p>
    <w:sectPr>
      <w:pgSz w:w="11906" w:h="16838"/>
      <w:pgMar w:top="2098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238ED"/>
    <w:rsid w:val="00010D4E"/>
    <w:rsid w:val="00027FF1"/>
    <w:rsid w:val="00060670"/>
    <w:rsid w:val="00106881"/>
    <w:rsid w:val="00166B81"/>
    <w:rsid w:val="001B1A3C"/>
    <w:rsid w:val="00204AAE"/>
    <w:rsid w:val="0021236B"/>
    <w:rsid w:val="002312A0"/>
    <w:rsid w:val="002400BF"/>
    <w:rsid w:val="00272503"/>
    <w:rsid w:val="002A576E"/>
    <w:rsid w:val="002B0ECF"/>
    <w:rsid w:val="002B7BC5"/>
    <w:rsid w:val="0035170D"/>
    <w:rsid w:val="00435CD2"/>
    <w:rsid w:val="0045737D"/>
    <w:rsid w:val="004809B7"/>
    <w:rsid w:val="004B1C60"/>
    <w:rsid w:val="004D4E2A"/>
    <w:rsid w:val="00507C68"/>
    <w:rsid w:val="005104F0"/>
    <w:rsid w:val="00561353"/>
    <w:rsid w:val="00561DEB"/>
    <w:rsid w:val="00565347"/>
    <w:rsid w:val="005751DF"/>
    <w:rsid w:val="00635111"/>
    <w:rsid w:val="00686834"/>
    <w:rsid w:val="006D6D4D"/>
    <w:rsid w:val="0078526F"/>
    <w:rsid w:val="007D7AEB"/>
    <w:rsid w:val="008A0399"/>
    <w:rsid w:val="008D55EA"/>
    <w:rsid w:val="008D764E"/>
    <w:rsid w:val="00917E24"/>
    <w:rsid w:val="0099545D"/>
    <w:rsid w:val="009A4891"/>
    <w:rsid w:val="009C1935"/>
    <w:rsid w:val="009E30B7"/>
    <w:rsid w:val="009F43F7"/>
    <w:rsid w:val="00AB6A8B"/>
    <w:rsid w:val="00B10344"/>
    <w:rsid w:val="00B23471"/>
    <w:rsid w:val="00B24EEE"/>
    <w:rsid w:val="00B578C6"/>
    <w:rsid w:val="00BA76DA"/>
    <w:rsid w:val="00BA7F4E"/>
    <w:rsid w:val="00BC1228"/>
    <w:rsid w:val="00BC4A62"/>
    <w:rsid w:val="00C4074F"/>
    <w:rsid w:val="00C8574C"/>
    <w:rsid w:val="00D13784"/>
    <w:rsid w:val="00D142D2"/>
    <w:rsid w:val="00D648E5"/>
    <w:rsid w:val="00DF4F7B"/>
    <w:rsid w:val="00E25B44"/>
    <w:rsid w:val="00E862F9"/>
    <w:rsid w:val="00E92789"/>
    <w:rsid w:val="00EA6D65"/>
    <w:rsid w:val="00EB25CD"/>
    <w:rsid w:val="00EF6A55"/>
    <w:rsid w:val="00F27A21"/>
    <w:rsid w:val="00F81BF6"/>
    <w:rsid w:val="00F90821"/>
    <w:rsid w:val="00FE76ED"/>
    <w:rsid w:val="0356457A"/>
    <w:rsid w:val="092871B4"/>
    <w:rsid w:val="0C481E4F"/>
    <w:rsid w:val="10C57650"/>
    <w:rsid w:val="1517766B"/>
    <w:rsid w:val="18092C09"/>
    <w:rsid w:val="1A0661FE"/>
    <w:rsid w:val="1C1A35F3"/>
    <w:rsid w:val="1C685F64"/>
    <w:rsid w:val="24616AB7"/>
    <w:rsid w:val="26677CA7"/>
    <w:rsid w:val="2AEC6D3F"/>
    <w:rsid w:val="55057AA5"/>
    <w:rsid w:val="5E0F689A"/>
    <w:rsid w:val="5E501939"/>
    <w:rsid w:val="5F895E55"/>
    <w:rsid w:val="66F871CB"/>
    <w:rsid w:val="67D238ED"/>
    <w:rsid w:val="6E6E3786"/>
    <w:rsid w:val="7786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334</Words>
  <Characters>1907</Characters>
  <Lines>15</Lines>
  <Paragraphs>4</Paragraphs>
  <TotalTime>2</TotalTime>
  <ScaleCrop>false</ScaleCrop>
  <LinksUpToDate>false</LinksUpToDate>
  <CharactersWithSpaces>2237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2021-07-06T03:40:00Z</dcterms:created>
  <dc:creator>Cuasimodo</dc:creator>
  <cp:lastModifiedBy>Administrator</cp:lastModifiedBy>
  <dcterms:modified xsi:type="dcterms:W3CDTF">2022-05-31T01:25:38Z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5679F1A1805549CBACAA61949843787E</vt:lpwstr>
  </property>
</Properties>
</file>